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9C32F" w14:textId="77777777" w:rsidR="00407DB2" w:rsidRDefault="00407DB2">
      <w:pPr>
        <w:rPr>
          <w:b/>
          <w:u w:val="single"/>
        </w:rPr>
      </w:pPr>
    </w:p>
    <w:p w14:paraId="76514990" w14:textId="77777777" w:rsidR="00407DB2" w:rsidRPr="00407DB2" w:rsidRDefault="00407DB2" w:rsidP="00407DB2">
      <w:pPr>
        <w:rPr>
          <w:b/>
          <w:u w:val="single"/>
        </w:rPr>
      </w:pPr>
      <w:r w:rsidRPr="00407DB2">
        <w:rPr>
          <w:b/>
          <w:u w:val="single"/>
        </w:rPr>
        <w:t>HEMOGLOBIN A1C</w:t>
      </w:r>
    </w:p>
    <w:p w14:paraId="7AF4DE63" w14:textId="77777777" w:rsidR="00407DB2" w:rsidRDefault="00407DB2">
      <w:pPr>
        <w:rPr>
          <w:b/>
          <w:u w:val="single"/>
        </w:rPr>
      </w:pPr>
    </w:p>
    <w:p w14:paraId="0AA4C757" w14:textId="77777777" w:rsidR="00724C29" w:rsidRPr="00023C54" w:rsidRDefault="00724C29">
      <w:pPr>
        <w:rPr>
          <w:b/>
          <w:u w:val="single"/>
        </w:rPr>
      </w:pPr>
      <w:r w:rsidRPr="00023C54">
        <w:rPr>
          <w:b/>
          <w:u w:val="single"/>
        </w:rPr>
        <w:t>Criteria for the diagnosis of diabetes:</w:t>
      </w:r>
    </w:p>
    <w:p w14:paraId="0AA4C758" w14:textId="77777777" w:rsidR="00724C29" w:rsidRDefault="00724C29"/>
    <w:p w14:paraId="0AA4C759" w14:textId="77777777" w:rsidR="00724C29" w:rsidRDefault="00724C29" w:rsidP="00724C29">
      <w:pPr>
        <w:pStyle w:val="ListParagraph"/>
        <w:numPr>
          <w:ilvl w:val="0"/>
          <w:numId w:val="1"/>
        </w:numPr>
      </w:pPr>
      <w:r>
        <w:t xml:space="preserve">A1C </w:t>
      </w:r>
      <w:r>
        <w:rPr>
          <w:rFonts w:cs="Times New Roman"/>
        </w:rPr>
        <w:t>≥</w:t>
      </w:r>
      <w:r>
        <w:t xml:space="preserve"> 6.5%.  This test should be performed in a laboratory using a method that is NGSP certified and standardized to the DCCT assay.*</w:t>
      </w:r>
    </w:p>
    <w:p w14:paraId="0AA4C75A" w14:textId="77777777" w:rsidR="00724C29" w:rsidRDefault="00724C29" w:rsidP="00724C29">
      <w:pPr>
        <w:spacing w:before="120" w:after="120"/>
        <w:jc w:val="center"/>
      </w:pPr>
      <w:r>
        <w:t>OR</w:t>
      </w:r>
    </w:p>
    <w:p w14:paraId="0AA4C75B" w14:textId="77777777" w:rsidR="00724C29" w:rsidRDefault="00724C29" w:rsidP="00724C29">
      <w:pPr>
        <w:pStyle w:val="ListParagraph"/>
        <w:numPr>
          <w:ilvl w:val="0"/>
          <w:numId w:val="1"/>
        </w:numPr>
      </w:pPr>
      <w:r>
        <w:t xml:space="preserve">FPG </w:t>
      </w:r>
      <w:r>
        <w:rPr>
          <w:rFonts w:cs="Times New Roman"/>
        </w:rPr>
        <w:t>≥</w:t>
      </w:r>
      <w:r>
        <w:t>126 mg/dl (7.0 mmol/l).  Fasting is defined as no caloric intake for at least 8 h.*</w:t>
      </w:r>
    </w:p>
    <w:p w14:paraId="0AA4C75C" w14:textId="77777777" w:rsidR="00724C29" w:rsidRDefault="00724C29" w:rsidP="00724C29">
      <w:pPr>
        <w:spacing w:before="120" w:after="120"/>
        <w:jc w:val="center"/>
      </w:pPr>
      <w:r>
        <w:t>OR</w:t>
      </w:r>
    </w:p>
    <w:p w14:paraId="0AA4C75D" w14:textId="77777777" w:rsidR="00724C29" w:rsidRDefault="00724C29" w:rsidP="00724C29">
      <w:pPr>
        <w:pStyle w:val="ListParagraph"/>
        <w:numPr>
          <w:ilvl w:val="0"/>
          <w:numId w:val="1"/>
        </w:numPr>
      </w:pPr>
      <w:r>
        <w:t xml:space="preserve">2-h plasma glucose </w:t>
      </w:r>
      <w:r>
        <w:rPr>
          <w:rFonts w:cs="Times New Roman"/>
        </w:rPr>
        <w:t>≥</w:t>
      </w:r>
      <w:r>
        <w:t xml:space="preserve"> 200 mg/dl (11.1 mmol/l) during an OGTT.  The test should be performed as described by the World Health Organization, using a glucose load containing the equivalent of 75 g anhydrous glucose dissolved in water.</w:t>
      </w:r>
      <w:r w:rsidR="009B68C6">
        <w:t>*</w:t>
      </w:r>
    </w:p>
    <w:p w14:paraId="0AA4C75E" w14:textId="77777777" w:rsidR="00724C29" w:rsidRDefault="00724C29" w:rsidP="00724C29">
      <w:pPr>
        <w:spacing w:before="120" w:after="120"/>
        <w:jc w:val="center"/>
      </w:pPr>
      <w:r>
        <w:t>OR</w:t>
      </w:r>
    </w:p>
    <w:p w14:paraId="0AA4C75F" w14:textId="77777777" w:rsidR="00724C29" w:rsidRDefault="00724C29" w:rsidP="00724C29">
      <w:pPr>
        <w:pStyle w:val="ListParagraph"/>
        <w:numPr>
          <w:ilvl w:val="0"/>
          <w:numId w:val="1"/>
        </w:numPr>
      </w:pPr>
      <w:r>
        <w:t xml:space="preserve">In a patient with classic symptoms of hyperglycemia or hyperglycemic crisis, a random plasma glucose </w:t>
      </w:r>
      <w:r>
        <w:rPr>
          <w:rFonts w:cs="Times New Roman"/>
        </w:rPr>
        <w:t>≥</w:t>
      </w:r>
      <w:r>
        <w:t xml:space="preserve"> 200 mg/dl (11.1 mmol/l).</w:t>
      </w:r>
    </w:p>
    <w:p w14:paraId="0AA4C760" w14:textId="77777777" w:rsidR="00724C29" w:rsidRDefault="00724C29" w:rsidP="00724C29"/>
    <w:p w14:paraId="0AA4C761" w14:textId="77777777" w:rsidR="009B68C6" w:rsidRDefault="009B68C6" w:rsidP="00724C29"/>
    <w:p w14:paraId="0AA4C762" w14:textId="77777777" w:rsidR="00724C29" w:rsidRPr="009B68C6" w:rsidRDefault="009B68C6" w:rsidP="009B68C6">
      <w:pPr>
        <w:rPr>
          <w:b/>
        </w:rPr>
      </w:pPr>
      <w:r w:rsidRPr="009B68C6">
        <w:rPr>
          <w:b/>
        </w:rPr>
        <w:t>*Categories of increased risk for diabetes (prediabetes)</w:t>
      </w:r>
      <w:r w:rsidR="003C2D1B">
        <w:rPr>
          <w:b/>
        </w:rPr>
        <w:t>:</w:t>
      </w:r>
    </w:p>
    <w:p w14:paraId="0AA4C763" w14:textId="77777777" w:rsidR="009B68C6" w:rsidRDefault="009B68C6" w:rsidP="009B68C6"/>
    <w:p w14:paraId="0AA4C764" w14:textId="77777777" w:rsidR="009B68C6" w:rsidRDefault="009B68C6" w:rsidP="009B68C6">
      <w:pPr>
        <w:pStyle w:val="ListParagraph"/>
        <w:numPr>
          <w:ilvl w:val="0"/>
          <w:numId w:val="1"/>
        </w:numPr>
      </w:pPr>
      <w:r>
        <w:t>FPG 100-125 mg/dl (5.6-6.9 mmol/l): IFG</w:t>
      </w:r>
    </w:p>
    <w:p w14:paraId="0AA4C765" w14:textId="77777777" w:rsidR="009B68C6" w:rsidRDefault="009B68C6" w:rsidP="009B68C6">
      <w:pPr>
        <w:spacing w:before="120" w:after="120"/>
        <w:jc w:val="center"/>
      </w:pPr>
      <w:r>
        <w:t>OR</w:t>
      </w:r>
    </w:p>
    <w:p w14:paraId="0AA4C766" w14:textId="77777777" w:rsidR="009B68C6" w:rsidRDefault="009B68C6" w:rsidP="009B68C6">
      <w:pPr>
        <w:pStyle w:val="ListParagraph"/>
        <w:numPr>
          <w:ilvl w:val="0"/>
          <w:numId w:val="1"/>
        </w:numPr>
      </w:pPr>
      <w:r>
        <w:t>2-h plasma glucose in the 75-g OGTT 140-199 mg/dl (7.8-11.0 mmol/l):  IGT</w:t>
      </w:r>
    </w:p>
    <w:p w14:paraId="0AA4C767" w14:textId="77777777" w:rsidR="009B68C6" w:rsidRDefault="009B68C6" w:rsidP="009B68C6">
      <w:pPr>
        <w:spacing w:before="120" w:after="120"/>
        <w:jc w:val="center"/>
      </w:pPr>
      <w:r>
        <w:t>OR</w:t>
      </w:r>
    </w:p>
    <w:p w14:paraId="0AA4C768" w14:textId="77777777" w:rsidR="009B68C6" w:rsidRDefault="009B68C6" w:rsidP="009B68C6">
      <w:pPr>
        <w:pStyle w:val="ListParagraph"/>
        <w:numPr>
          <w:ilvl w:val="0"/>
          <w:numId w:val="1"/>
        </w:numPr>
      </w:pPr>
      <w:r>
        <w:t>A1C  5.7-6.4%</w:t>
      </w:r>
    </w:p>
    <w:p w14:paraId="0AA4C769" w14:textId="77777777" w:rsidR="00BD4BE1" w:rsidRDefault="00BD4BE1" w:rsidP="00BD4BE1"/>
    <w:p w14:paraId="0AA4C76A" w14:textId="77777777" w:rsidR="00BD4BE1" w:rsidRPr="00023C54" w:rsidRDefault="00BD4BE1" w:rsidP="00BD4BE1">
      <w:pPr>
        <w:rPr>
          <w:b/>
          <w:u w:val="single"/>
        </w:rPr>
      </w:pPr>
      <w:r w:rsidRPr="00023C54">
        <w:rPr>
          <w:b/>
          <w:u w:val="single"/>
        </w:rPr>
        <w:t>Criteria for testing for diabetes in asymptomatic adult individuals</w:t>
      </w:r>
      <w:r w:rsidR="003C2D1B">
        <w:rPr>
          <w:b/>
          <w:u w:val="single"/>
        </w:rPr>
        <w:t>:</w:t>
      </w:r>
    </w:p>
    <w:p w14:paraId="0AA4C76B" w14:textId="77777777" w:rsidR="00023C54" w:rsidRPr="00BD4BE1" w:rsidRDefault="00023C54" w:rsidP="00BD4BE1">
      <w:pPr>
        <w:rPr>
          <w:b/>
        </w:rPr>
      </w:pPr>
    </w:p>
    <w:p w14:paraId="0AA4C76C" w14:textId="77777777" w:rsidR="00BD4BE1" w:rsidRDefault="00BD4BE1" w:rsidP="00BD4BE1">
      <w:pPr>
        <w:pStyle w:val="ListParagraph"/>
        <w:numPr>
          <w:ilvl w:val="0"/>
          <w:numId w:val="2"/>
        </w:numPr>
      </w:pPr>
      <w:r>
        <w:t xml:space="preserve">Testing should be considered in all adults who are overweight (BMI </w:t>
      </w:r>
      <w:r>
        <w:rPr>
          <w:rFonts w:cs="Times New Roman"/>
        </w:rPr>
        <w:t>≥</w:t>
      </w:r>
      <w:r>
        <w:t xml:space="preserve"> 25 kg/m</w:t>
      </w:r>
      <w:r w:rsidRPr="00BD4BE1">
        <w:rPr>
          <w:vertAlign w:val="superscript"/>
        </w:rPr>
        <w:t>2</w:t>
      </w:r>
      <w:r>
        <w:t>) and have additional risk factors:</w:t>
      </w:r>
    </w:p>
    <w:p w14:paraId="0AA4C76D" w14:textId="77777777" w:rsidR="00BD4BE1" w:rsidRDefault="002D2538" w:rsidP="00BD4BE1">
      <w:pPr>
        <w:pStyle w:val="ListParagraph"/>
        <w:numPr>
          <w:ilvl w:val="1"/>
          <w:numId w:val="2"/>
        </w:numPr>
      </w:pPr>
      <w:r>
        <w:t>Physical inactivity</w:t>
      </w:r>
    </w:p>
    <w:p w14:paraId="0AA4C76E" w14:textId="77777777" w:rsidR="002D2538" w:rsidRDefault="002D2538" w:rsidP="00BD4BE1">
      <w:pPr>
        <w:pStyle w:val="ListParagraph"/>
        <w:numPr>
          <w:ilvl w:val="1"/>
          <w:numId w:val="2"/>
        </w:numPr>
      </w:pPr>
      <w:r>
        <w:t>First-degree relative with diabetes</w:t>
      </w:r>
    </w:p>
    <w:p w14:paraId="0AA4C76F" w14:textId="77777777" w:rsidR="002D2538" w:rsidRDefault="002D2538" w:rsidP="00BD4BE1">
      <w:pPr>
        <w:pStyle w:val="ListParagraph"/>
        <w:numPr>
          <w:ilvl w:val="1"/>
          <w:numId w:val="2"/>
        </w:numPr>
      </w:pPr>
      <w:r>
        <w:t>High-risk race/ethnicity (e.g., African American, Latino, Native American, Asian American, Pacific Islander)</w:t>
      </w:r>
    </w:p>
    <w:p w14:paraId="0AA4C770" w14:textId="77777777" w:rsidR="002D2538" w:rsidRDefault="002D2538" w:rsidP="00BD4BE1">
      <w:pPr>
        <w:pStyle w:val="ListParagraph"/>
        <w:numPr>
          <w:ilvl w:val="1"/>
          <w:numId w:val="2"/>
        </w:numPr>
      </w:pPr>
      <w:r>
        <w:t>Women who delivered a baby weighing &gt; 9 lb. or were diagnosed with GDM</w:t>
      </w:r>
    </w:p>
    <w:p w14:paraId="0AA4C771" w14:textId="77777777" w:rsidR="002D2538" w:rsidRDefault="002D2538" w:rsidP="00BD4BE1">
      <w:pPr>
        <w:pStyle w:val="ListParagraph"/>
        <w:numPr>
          <w:ilvl w:val="1"/>
          <w:numId w:val="2"/>
        </w:numPr>
      </w:pPr>
      <w:r>
        <w:t>Hypertension (</w:t>
      </w:r>
      <w:r>
        <w:rPr>
          <w:rFonts w:cs="Times New Roman"/>
        </w:rPr>
        <w:t>≥</w:t>
      </w:r>
      <w:r>
        <w:t>140/90 mmHg or on therapy for hypertension)</w:t>
      </w:r>
    </w:p>
    <w:p w14:paraId="0AA4C772" w14:textId="77777777" w:rsidR="002D2538" w:rsidRDefault="002D2538" w:rsidP="00BD4BE1">
      <w:pPr>
        <w:pStyle w:val="ListParagraph"/>
        <w:numPr>
          <w:ilvl w:val="1"/>
          <w:numId w:val="2"/>
        </w:numPr>
      </w:pPr>
      <w:r>
        <w:t>HDL cholesterol level &lt;35 mg/dl (0.90 mmol/l) and/or a triglyceride level &gt;250 mg/dl (2.82 mmol/l)</w:t>
      </w:r>
    </w:p>
    <w:p w14:paraId="0AA4C773" w14:textId="77777777" w:rsidR="002D2538" w:rsidRDefault="002D2538" w:rsidP="00BD4BE1">
      <w:pPr>
        <w:pStyle w:val="ListParagraph"/>
        <w:numPr>
          <w:ilvl w:val="1"/>
          <w:numId w:val="2"/>
        </w:numPr>
      </w:pPr>
      <w:r>
        <w:t>Women with polycystic ovarian syndrome (PCOS)</w:t>
      </w:r>
    </w:p>
    <w:p w14:paraId="0AA4C774" w14:textId="77777777" w:rsidR="002D2538" w:rsidRDefault="002D2538" w:rsidP="00BD4BE1">
      <w:pPr>
        <w:pStyle w:val="ListParagraph"/>
        <w:numPr>
          <w:ilvl w:val="1"/>
          <w:numId w:val="2"/>
        </w:numPr>
      </w:pPr>
      <w:r>
        <w:t xml:space="preserve">A1C </w:t>
      </w:r>
      <w:r>
        <w:rPr>
          <w:rFonts w:cs="Times New Roman"/>
        </w:rPr>
        <w:t xml:space="preserve">≥ </w:t>
      </w:r>
      <w:r>
        <w:t>5.7%, IGT, or IFG on previous testing</w:t>
      </w:r>
    </w:p>
    <w:p w14:paraId="0AA4C775" w14:textId="77777777" w:rsidR="002D2538" w:rsidRDefault="002D2538" w:rsidP="00BD4BE1">
      <w:pPr>
        <w:pStyle w:val="ListParagraph"/>
        <w:numPr>
          <w:ilvl w:val="1"/>
          <w:numId w:val="2"/>
        </w:numPr>
      </w:pPr>
      <w:r>
        <w:t>Other clinical conditions associated with insulin resistance (e.g., severe obesity, acanthosis nigricans)</w:t>
      </w:r>
    </w:p>
    <w:p w14:paraId="0AA4C776" w14:textId="77777777" w:rsidR="002D2538" w:rsidRDefault="002D2538" w:rsidP="00BD4BE1">
      <w:pPr>
        <w:pStyle w:val="ListParagraph"/>
        <w:numPr>
          <w:ilvl w:val="1"/>
          <w:numId w:val="2"/>
        </w:numPr>
      </w:pPr>
      <w:r>
        <w:lastRenderedPageBreak/>
        <w:t>History of CVD</w:t>
      </w:r>
    </w:p>
    <w:p w14:paraId="0AA4C777" w14:textId="77777777" w:rsidR="002D2538" w:rsidRDefault="002D2538" w:rsidP="002D2538">
      <w:pPr>
        <w:pStyle w:val="ListParagraph"/>
        <w:numPr>
          <w:ilvl w:val="0"/>
          <w:numId w:val="2"/>
        </w:numPr>
      </w:pPr>
      <w:r>
        <w:t>In the absence of the above criteria, testing for diabetes should begin at age 45 years.</w:t>
      </w:r>
    </w:p>
    <w:p w14:paraId="0AA4C778" w14:textId="77777777" w:rsidR="002D2538" w:rsidRDefault="002D2538" w:rsidP="002D2538">
      <w:pPr>
        <w:pStyle w:val="ListParagraph"/>
        <w:numPr>
          <w:ilvl w:val="0"/>
          <w:numId w:val="2"/>
        </w:numPr>
      </w:pPr>
      <w:r>
        <w:t>If results are normal, testing should be repeated at least 3-year intervals, with consideration of more frequent testing depending on initial results and risk status.</w:t>
      </w:r>
    </w:p>
    <w:p w14:paraId="0AA4C779" w14:textId="77777777" w:rsidR="000267C7" w:rsidRDefault="000267C7" w:rsidP="000267C7"/>
    <w:p w14:paraId="0AA4C77A" w14:textId="77777777" w:rsidR="000267C7" w:rsidRPr="00A421C2" w:rsidRDefault="000267C7" w:rsidP="000267C7">
      <w:pPr>
        <w:rPr>
          <w:b/>
          <w:u w:val="single"/>
        </w:rPr>
      </w:pPr>
      <w:r w:rsidRPr="00A421C2">
        <w:rPr>
          <w:b/>
          <w:u w:val="single"/>
        </w:rPr>
        <w:t>Summary of glycemic recommendations for many nonpregnant adults with diabetes:</w:t>
      </w:r>
    </w:p>
    <w:p w14:paraId="0AA4C77B" w14:textId="77777777" w:rsidR="000267C7" w:rsidRDefault="000267C7" w:rsidP="000267C7"/>
    <w:p w14:paraId="0AA4C77C" w14:textId="77777777" w:rsidR="000267C7" w:rsidRDefault="00A421C2" w:rsidP="00A421C2">
      <w:pPr>
        <w:pStyle w:val="ListParagraph"/>
        <w:numPr>
          <w:ilvl w:val="0"/>
          <w:numId w:val="3"/>
        </w:numPr>
        <w:tabs>
          <w:tab w:val="left" w:pos="7200"/>
        </w:tabs>
      </w:pPr>
      <w:r>
        <w:t>A1C</w:t>
      </w:r>
      <w:r>
        <w:tab/>
        <w:t>&lt; 7.0%*</w:t>
      </w:r>
    </w:p>
    <w:p w14:paraId="0AA4C77D" w14:textId="77777777" w:rsidR="00A421C2" w:rsidRDefault="00A421C2" w:rsidP="00A421C2">
      <w:pPr>
        <w:tabs>
          <w:tab w:val="left" w:pos="7200"/>
        </w:tabs>
      </w:pPr>
    </w:p>
    <w:p w14:paraId="0AA4C77E" w14:textId="77777777" w:rsidR="00A421C2" w:rsidRDefault="00A421C2" w:rsidP="00A421C2">
      <w:pPr>
        <w:pStyle w:val="ListParagraph"/>
        <w:numPr>
          <w:ilvl w:val="0"/>
          <w:numId w:val="3"/>
        </w:numPr>
        <w:tabs>
          <w:tab w:val="left" w:pos="7200"/>
        </w:tabs>
      </w:pPr>
      <w:r>
        <w:t>Preprandial capillary plasma glucose</w:t>
      </w:r>
      <w:r>
        <w:tab/>
        <w:t>70-130 mg/dl*</w:t>
      </w:r>
    </w:p>
    <w:p w14:paraId="0AA4C77F" w14:textId="77777777" w:rsidR="00A421C2" w:rsidRDefault="00A421C2" w:rsidP="00A421C2">
      <w:pPr>
        <w:tabs>
          <w:tab w:val="left" w:pos="7200"/>
        </w:tabs>
      </w:pPr>
      <w:r>
        <w:tab/>
        <w:t>(3.9-7.2 mmol/l)</w:t>
      </w:r>
    </w:p>
    <w:p w14:paraId="0AA4C780" w14:textId="77777777" w:rsidR="00A421C2" w:rsidRDefault="00A421C2" w:rsidP="00A421C2">
      <w:pPr>
        <w:tabs>
          <w:tab w:val="left" w:pos="7200"/>
        </w:tabs>
      </w:pPr>
    </w:p>
    <w:p w14:paraId="0AA4C781" w14:textId="77777777" w:rsidR="00A421C2" w:rsidRDefault="00A421C2" w:rsidP="00A421C2">
      <w:pPr>
        <w:pStyle w:val="ListParagraph"/>
        <w:numPr>
          <w:ilvl w:val="0"/>
          <w:numId w:val="4"/>
        </w:numPr>
        <w:tabs>
          <w:tab w:val="left" w:pos="7200"/>
        </w:tabs>
      </w:pPr>
      <w:r>
        <w:t>Peak postprandial capillary plasma glucose</w:t>
      </w:r>
      <w:r>
        <w:tab/>
        <w:t>&lt;180 mg/dl</w:t>
      </w:r>
    </w:p>
    <w:p w14:paraId="0AA4C782" w14:textId="77777777" w:rsidR="00A421C2" w:rsidRDefault="00A421C2" w:rsidP="00A421C2">
      <w:pPr>
        <w:tabs>
          <w:tab w:val="left" w:pos="7200"/>
        </w:tabs>
      </w:pPr>
      <w:r>
        <w:tab/>
        <w:t>(&lt;10.0 mmol/l)</w:t>
      </w:r>
    </w:p>
    <w:p w14:paraId="0AA4C783" w14:textId="77777777" w:rsidR="00A421C2" w:rsidRDefault="00A421C2" w:rsidP="00A421C2">
      <w:pPr>
        <w:tabs>
          <w:tab w:val="left" w:pos="7200"/>
        </w:tabs>
      </w:pPr>
    </w:p>
    <w:p w14:paraId="0AA4C784" w14:textId="77777777" w:rsidR="00A421C2" w:rsidRDefault="00A421C2" w:rsidP="00A421C2">
      <w:pPr>
        <w:pStyle w:val="ListParagraph"/>
        <w:numPr>
          <w:ilvl w:val="0"/>
          <w:numId w:val="4"/>
        </w:numPr>
        <w:tabs>
          <w:tab w:val="left" w:pos="7200"/>
        </w:tabs>
      </w:pPr>
      <w:r>
        <w:t>Goals should be individualized based on:</w:t>
      </w:r>
    </w:p>
    <w:p w14:paraId="0AA4C785" w14:textId="77777777" w:rsidR="00A421C2" w:rsidRDefault="00A421C2" w:rsidP="00A421C2">
      <w:pPr>
        <w:pStyle w:val="ListParagraph"/>
        <w:numPr>
          <w:ilvl w:val="1"/>
          <w:numId w:val="5"/>
        </w:numPr>
        <w:tabs>
          <w:tab w:val="left" w:pos="7200"/>
        </w:tabs>
      </w:pPr>
      <w:r>
        <w:t>Duration of diabetes</w:t>
      </w:r>
    </w:p>
    <w:p w14:paraId="0AA4C786" w14:textId="77777777" w:rsidR="00A421C2" w:rsidRDefault="00A421C2" w:rsidP="00A421C2">
      <w:pPr>
        <w:pStyle w:val="ListParagraph"/>
        <w:numPr>
          <w:ilvl w:val="1"/>
          <w:numId w:val="5"/>
        </w:numPr>
        <w:tabs>
          <w:tab w:val="left" w:pos="7200"/>
        </w:tabs>
      </w:pPr>
      <w:r>
        <w:t>Age/life expectancy</w:t>
      </w:r>
    </w:p>
    <w:p w14:paraId="0AA4C787" w14:textId="77777777" w:rsidR="00A421C2" w:rsidRDefault="00A421C2" w:rsidP="00A421C2">
      <w:pPr>
        <w:pStyle w:val="ListParagraph"/>
        <w:numPr>
          <w:ilvl w:val="1"/>
          <w:numId w:val="5"/>
        </w:numPr>
        <w:tabs>
          <w:tab w:val="left" w:pos="7200"/>
        </w:tabs>
      </w:pPr>
      <w:r>
        <w:t>Comorbid conditions</w:t>
      </w:r>
    </w:p>
    <w:p w14:paraId="0AA4C788" w14:textId="77777777" w:rsidR="00A421C2" w:rsidRDefault="00A421C2" w:rsidP="00A421C2">
      <w:pPr>
        <w:pStyle w:val="ListParagraph"/>
        <w:numPr>
          <w:ilvl w:val="1"/>
          <w:numId w:val="5"/>
        </w:numPr>
        <w:tabs>
          <w:tab w:val="left" w:pos="7200"/>
        </w:tabs>
      </w:pPr>
      <w:r>
        <w:t>Known CVD or advanced microvascular complications</w:t>
      </w:r>
    </w:p>
    <w:p w14:paraId="0AA4C789" w14:textId="77777777" w:rsidR="00A421C2" w:rsidRDefault="00A421C2" w:rsidP="00A421C2">
      <w:pPr>
        <w:pStyle w:val="ListParagraph"/>
        <w:numPr>
          <w:ilvl w:val="1"/>
          <w:numId w:val="5"/>
        </w:numPr>
        <w:tabs>
          <w:tab w:val="left" w:pos="7200"/>
        </w:tabs>
      </w:pPr>
      <w:r>
        <w:t>Hypoglycemia unawareness</w:t>
      </w:r>
    </w:p>
    <w:p w14:paraId="0AA4C78A" w14:textId="77777777" w:rsidR="00A421C2" w:rsidRDefault="00A421C2" w:rsidP="00A421C2">
      <w:pPr>
        <w:pStyle w:val="ListParagraph"/>
        <w:numPr>
          <w:ilvl w:val="1"/>
          <w:numId w:val="5"/>
        </w:numPr>
        <w:tabs>
          <w:tab w:val="left" w:pos="7200"/>
        </w:tabs>
      </w:pPr>
      <w:r>
        <w:t>Individual patient considerations</w:t>
      </w:r>
    </w:p>
    <w:p w14:paraId="0AA4C78B" w14:textId="77777777" w:rsidR="00A421C2" w:rsidRDefault="00A421C2" w:rsidP="00A421C2">
      <w:pPr>
        <w:tabs>
          <w:tab w:val="left" w:pos="7200"/>
        </w:tabs>
      </w:pPr>
    </w:p>
    <w:p w14:paraId="0AA4C78C" w14:textId="77777777" w:rsidR="00A421C2" w:rsidRDefault="00A421C2" w:rsidP="00A421C2">
      <w:pPr>
        <w:pStyle w:val="ListParagraph"/>
        <w:numPr>
          <w:ilvl w:val="0"/>
          <w:numId w:val="4"/>
        </w:numPr>
        <w:tabs>
          <w:tab w:val="left" w:pos="7200"/>
        </w:tabs>
      </w:pPr>
      <w:r>
        <w:t>More or less stringent glycemic goals may be appropriate for individual patients</w:t>
      </w:r>
    </w:p>
    <w:p w14:paraId="0AA4C78D" w14:textId="77777777" w:rsidR="00A421C2" w:rsidRDefault="00A421C2" w:rsidP="00A421C2">
      <w:pPr>
        <w:pStyle w:val="ListParagraph"/>
        <w:numPr>
          <w:ilvl w:val="0"/>
          <w:numId w:val="4"/>
        </w:numPr>
        <w:tabs>
          <w:tab w:val="left" w:pos="7200"/>
        </w:tabs>
      </w:pPr>
      <w:r>
        <w:t>Postprandial glucose may be targeted if A1C goals are not met despite reaching preprandial glucose goals.</w:t>
      </w:r>
    </w:p>
    <w:p w14:paraId="0AA4C78E" w14:textId="77777777" w:rsidR="00A421C2" w:rsidRDefault="00A421C2" w:rsidP="00A421C2">
      <w:pPr>
        <w:tabs>
          <w:tab w:val="left" w:pos="7200"/>
        </w:tabs>
      </w:pPr>
    </w:p>
    <w:p w14:paraId="0AA4C78F" w14:textId="77777777" w:rsidR="000C3FC2" w:rsidRDefault="000C3FC2" w:rsidP="00A421C2">
      <w:pPr>
        <w:tabs>
          <w:tab w:val="left" w:pos="7200"/>
        </w:tabs>
      </w:pPr>
    </w:p>
    <w:p w14:paraId="0AA4C790" w14:textId="77777777" w:rsidR="00951F90" w:rsidRPr="0093043A" w:rsidRDefault="00951F90" w:rsidP="00A421C2">
      <w:pPr>
        <w:tabs>
          <w:tab w:val="left" w:pos="7200"/>
        </w:tabs>
        <w:rPr>
          <w:b/>
          <w:u w:val="single"/>
        </w:rPr>
      </w:pPr>
      <w:r w:rsidRPr="0093043A">
        <w:rPr>
          <w:b/>
          <w:u w:val="single"/>
        </w:rPr>
        <w:t>2012 HEDIS Measures</w:t>
      </w:r>
      <w:r w:rsidR="003C2D1B">
        <w:rPr>
          <w:b/>
          <w:u w:val="single"/>
        </w:rPr>
        <w:t>:</w:t>
      </w:r>
    </w:p>
    <w:p w14:paraId="0AA4C791" w14:textId="77777777" w:rsidR="000C3FC2" w:rsidRPr="000C3FC2" w:rsidRDefault="000C3FC2" w:rsidP="00A421C2">
      <w:pPr>
        <w:tabs>
          <w:tab w:val="left" w:pos="7200"/>
        </w:tabs>
        <w:rPr>
          <w:b/>
        </w:rPr>
      </w:pPr>
    </w:p>
    <w:tbl>
      <w:tblPr>
        <w:tblStyle w:val="TableGrid"/>
        <w:tblW w:w="0" w:type="auto"/>
        <w:tblLook w:val="04A0" w:firstRow="1" w:lastRow="0" w:firstColumn="1" w:lastColumn="0" w:noHBand="0" w:noVBand="1"/>
      </w:tblPr>
      <w:tblGrid>
        <w:gridCol w:w="4158"/>
        <w:gridCol w:w="5418"/>
      </w:tblGrid>
      <w:tr w:rsidR="00951F90" w14:paraId="0AA4C794" w14:textId="77777777" w:rsidTr="000C3FC2">
        <w:tc>
          <w:tcPr>
            <w:tcW w:w="9576" w:type="dxa"/>
            <w:gridSpan w:val="2"/>
            <w:shd w:val="clear" w:color="auto" w:fill="D9D9D9" w:themeFill="background1" w:themeFillShade="D9"/>
          </w:tcPr>
          <w:p w14:paraId="0AA4C792" w14:textId="77777777" w:rsidR="00951F90" w:rsidRPr="000C3FC2" w:rsidRDefault="00951F90" w:rsidP="000C3FC2">
            <w:pPr>
              <w:tabs>
                <w:tab w:val="left" w:pos="7200"/>
              </w:tabs>
              <w:jc w:val="center"/>
              <w:rPr>
                <w:b/>
              </w:rPr>
            </w:pPr>
            <w:r w:rsidRPr="000C3FC2">
              <w:rPr>
                <w:b/>
              </w:rPr>
              <w:t>DIABETES</w:t>
            </w:r>
          </w:p>
          <w:p w14:paraId="0AA4C793" w14:textId="77777777" w:rsidR="00951F90" w:rsidRPr="000C3FC2" w:rsidRDefault="00951F90" w:rsidP="000C3FC2">
            <w:pPr>
              <w:tabs>
                <w:tab w:val="left" w:pos="7200"/>
              </w:tabs>
              <w:jc w:val="center"/>
              <w:rPr>
                <w:b/>
              </w:rPr>
            </w:pPr>
            <w:r w:rsidRPr="000C3FC2">
              <w:rPr>
                <w:b/>
              </w:rPr>
              <w:t xml:space="preserve">Comprehensive Diabetes Care </w:t>
            </w:r>
            <w:r w:rsidR="000C3FC2" w:rsidRPr="000C3FC2">
              <w:rPr>
                <w:b/>
              </w:rPr>
              <w:t>(18-75 years)</w:t>
            </w:r>
          </w:p>
        </w:tc>
      </w:tr>
      <w:tr w:rsidR="00951F90" w14:paraId="0AA4C797" w14:textId="77777777" w:rsidTr="000C3FC2">
        <w:tc>
          <w:tcPr>
            <w:tcW w:w="4158" w:type="dxa"/>
          </w:tcPr>
          <w:p w14:paraId="0AA4C795" w14:textId="77777777" w:rsidR="00951F90" w:rsidRDefault="000C3FC2" w:rsidP="00A421C2">
            <w:pPr>
              <w:tabs>
                <w:tab w:val="left" w:pos="7200"/>
              </w:tabs>
            </w:pPr>
            <w:r>
              <w:t>HbA1c Testing</w:t>
            </w:r>
          </w:p>
        </w:tc>
        <w:tc>
          <w:tcPr>
            <w:tcW w:w="5418" w:type="dxa"/>
          </w:tcPr>
          <w:p w14:paraId="0AA4C796" w14:textId="77777777" w:rsidR="00951F90" w:rsidRDefault="000C3FC2" w:rsidP="00A421C2">
            <w:pPr>
              <w:tabs>
                <w:tab w:val="left" w:pos="7200"/>
              </w:tabs>
            </w:pPr>
            <w:r>
              <w:t>Percent of members with one HbA1c test during year</w:t>
            </w:r>
          </w:p>
        </w:tc>
      </w:tr>
      <w:tr w:rsidR="00951F90" w14:paraId="0AA4C79B" w14:textId="77777777" w:rsidTr="000C3FC2">
        <w:tc>
          <w:tcPr>
            <w:tcW w:w="4158" w:type="dxa"/>
          </w:tcPr>
          <w:p w14:paraId="0AA4C798" w14:textId="77777777" w:rsidR="00951F90" w:rsidRDefault="000C3FC2" w:rsidP="00A421C2">
            <w:pPr>
              <w:tabs>
                <w:tab w:val="left" w:pos="7200"/>
              </w:tabs>
            </w:pPr>
            <w:r>
              <w:t>HbA1c Poor Control</w:t>
            </w:r>
          </w:p>
          <w:p w14:paraId="0AA4C799" w14:textId="77777777" w:rsidR="000C3FC2" w:rsidRPr="000C3FC2" w:rsidRDefault="000C3FC2" w:rsidP="000C3FC2">
            <w:pPr>
              <w:pStyle w:val="ListParagraph"/>
              <w:numPr>
                <w:ilvl w:val="0"/>
                <w:numId w:val="6"/>
              </w:numPr>
              <w:tabs>
                <w:tab w:val="left" w:pos="7200"/>
              </w:tabs>
            </w:pPr>
            <w:r>
              <w:t>&gt;9%</w:t>
            </w:r>
          </w:p>
        </w:tc>
        <w:tc>
          <w:tcPr>
            <w:tcW w:w="5418" w:type="dxa"/>
          </w:tcPr>
          <w:p w14:paraId="0AA4C79A" w14:textId="77777777" w:rsidR="00951F90" w:rsidRDefault="000C3FC2" w:rsidP="00A421C2">
            <w:pPr>
              <w:tabs>
                <w:tab w:val="left" w:pos="7200"/>
              </w:tabs>
            </w:pPr>
            <w:r>
              <w:t>Percent of members with HbA1c result of higher than 9.0</w:t>
            </w:r>
          </w:p>
        </w:tc>
      </w:tr>
      <w:tr w:rsidR="00951F90" w14:paraId="0AA4C79F" w14:textId="77777777" w:rsidTr="000C3FC2">
        <w:tc>
          <w:tcPr>
            <w:tcW w:w="4158" w:type="dxa"/>
          </w:tcPr>
          <w:p w14:paraId="0AA4C79C" w14:textId="77777777" w:rsidR="00951F90" w:rsidRDefault="000C3FC2" w:rsidP="00A421C2">
            <w:pPr>
              <w:tabs>
                <w:tab w:val="left" w:pos="7200"/>
              </w:tabs>
            </w:pPr>
            <w:r>
              <w:t>HbA1c Good Control</w:t>
            </w:r>
          </w:p>
          <w:p w14:paraId="0AA4C79D" w14:textId="77777777" w:rsidR="000C3FC2" w:rsidRPr="000C3FC2" w:rsidRDefault="000C3FC2" w:rsidP="000C3FC2">
            <w:pPr>
              <w:pStyle w:val="ListParagraph"/>
              <w:numPr>
                <w:ilvl w:val="0"/>
                <w:numId w:val="6"/>
              </w:numPr>
              <w:tabs>
                <w:tab w:val="left" w:pos="7200"/>
              </w:tabs>
            </w:pPr>
            <w:r>
              <w:t>&lt;7%</w:t>
            </w:r>
          </w:p>
        </w:tc>
        <w:tc>
          <w:tcPr>
            <w:tcW w:w="5418" w:type="dxa"/>
          </w:tcPr>
          <w:p w14:paraId="0AA4C79E" w14:textId="77777777" w:rsidR="00951F90" w:rsidRDefault="000C3FC2" w:rsidP="00A421C2">
            <w:pPr>
              <w:tabs>
                <w:tab w:val="left" w:pos="7200"/>
              </w:tabs>
            </w:pPr>
            <w:r>
              <w:t>Percent of members with HbA1c result of lower than 7.0</w:t>
            </w:r>
          </w:p>
        </w:tc>
      </w:tr>
      <w:tr w:rsidR="00951F90" w14:paraId="0AA4C7A3" w14:textId="77777777" w:rsidTr="000C3FC2">
        <w:tc>
          <w:tcPr>
            <w:tcW w:w="4158" w:type="dxa"/>
          </w:tcPr>
          <w:p w14:paraId="0AA4C7A0" w14:textId="77777777" w:rsidR="00951F90" w:rsidRDefault="000C3FC2" w:rsidP="00A421C2">
            <w:pPr>
              <w:tabs>
                <w:tab w:val="left" w:pos="7200"/>
              </w:tabs>
            </w:pPr>
            <w:r>
              <w:t>Eye Exam</w:t>
            </w:r>
          </w:p>
          <w:p w14:paraId="0AA4C7A1" w14:textId="77777777" w:rsidR="000C3FC2" w:rsidRPr="000C3FC2" w:rsidRDefault="000C3FC2" w:rsidP="000C3FC2">
            <w:pPr>
              <w:pStyle w:val="ListParagraph"/>
              <w:numPr>
                <w:ilvl w:val="0"/>
                <w:numId w:val="6"/>
              </w:numPr>
              <w:tabs>
                <w:tab w:val="left" w:pos="7200"/>
              </w:tabs>
            </w:pPr>
            <w:r>
              <w:t>Retinal</w:t>
            </w:r>
          </w:p>
        </w:tc>
        <w:tc>
          <w:tcPr>
            <w:tcW w:w="5418" w:type="dxa"/>
          </w:tcPr>
          <w:p w14:paraId="0AA4C7A2" w14:textId="77777777" w:rsidR="00951F90" w:rsidRDefault="000C3FC2" w:rsidP="00A421C2">
            <w:pPr>
              <w:tabs>
                <w:tab w:val="left" w:pos="7200"/>
              </w:tabs>
            </w:pPr>
            <w:r>
              <w:t>Percent of members who have had an annual retinal exam in the measurement year, or have had a negative exam in the year prior</w:t>
            </w:r>
          </w:p>
        </w:tc>
      </w:tr>
      <w:tr w:rsidR="000C3FC2" w14:paraId="0AA4C7A6" w14:textId="77777777" w:rsidTr="000C3FC2">
        <w:tc>
          <w:tcPr>
            <w:tcW w:w="4158" w:type="dxa"/>
          </w:tcPr>
          <w:p w14:paraId="0AA4C7A4" w14:textId="77777777" w:rsidR="000C3FC2" w:rsidRDefault="000C3FC2" w:rsidP="00A421C2">
            <w:pPr>
              <w:tabs>
                <w:tab w:val="left" w:pos="7200"/>
              </w:tabs>
            </w:pPr>
            <w:r>
              <w:t>LDL-C Screening</w:t>
            </w:r>
          </w:p>
        </w:tc>
        <w:tc>
          <w:tcPr>
            <w:tcW w:w="5418" w:type="dxa"/>
          </w:tcPr>
          <w:p w14:paraId="0AA4C7A5" w14:textId="77777777" w:rsidR="000C3FC2" w:rsidRDefault="000C3FC2" w:rsidP="00A421C2">
            <w:pPr>
              <w:tabs>
                <w:tab w:val="left" w:pos="7200"/>
              </w:tabs>
            </w:pPr>
            <w:r>
              <w:t>Percent of members who have had an LDL-C screening</w:t>
            </w:r>
          </w:p>
        </w:tc>
      </w:tr>
      <w:tr w:rsidR="000C3FC2" w14:paraId="0AA4C7AA" w14:textId="77777777" w:rsidTr="000C3FC2">
        <w:tc>
          <w:tcPr>
            <w:tcW w:w="4158" w:type="dxa"/>
          </w:tcPr>
          <w:p w14:paraId="0AA4C7A7" w14:textId="77777777" w:rsidR="000C3FC2" w:rsidRDefault="000C3FC2" w:rsidP="00A421C2">
            <w:pPr>
              <w:tabs>
                <w:tab w:val="left" w:pos="7200"/>
              </w:tabs>
            </w:pPr>
            <w:r>
              <w:t>LDL-C Control</w:t>
            </w:r>
          </w:p>
          <w:p w14:paraId="0AA4C7A8" w14:textId="77777777" w:rsidR="000C3FC2" w:rsidRPr="000C3FC2" w:rsidRDefault="000C3FC2" w:rsidP="000C3FC2">
            <w:pPr>
              <w:pStyle w:val="ListParagraph"/>
              <w:numPr>
                <w:ilvl w:val="0"/>
                <w:numId w:val="6"/>
              </w:numPr>
              <w:tabs>
                <w:tab w:val="left" w:pos="7200"/>
              </w:tabs>
            </w:pPr>
            <w:r>
              <w:t>&lt;100 mg/dL</w:t>
            </w:r>
          </w:p>
        </w:tc>
        <w:tc>
          <w:tcPr>
            <w:tcW w:w="5418" w:type="dxa"/>
          </w:tcPr>
          <w:p w14:paraId="0AA4C7A9" w14:textId="77777777" w:rsidR="000C3FC2" w:rsidRDefault="000C3FC2" w:rsidP="00A421C2">
            <w:pPr>
              <w:tabs>
                <w:tab w:val="left" w:pos="7200"/>
              </w:tabs>
            </w:pPr>
            <w:r>
              <w:t>Percent of members who have had an LDL-C lower than 100 mg/dL</w:t>
            </w:r>
          </w:p>
        </w:tc>
      </w:tr>
      <w:tr w:rsidR="000C3FC2" w14:paraId="0AA4C7AD" w14:textId="77777777" w:rsidTr="000C3FC2">
        <w:tc>
          <w:tcPr>
            <w:tcW w:w="4158" w:type="dxa"/>
          </w:tcPr>
          <w:p w14:paraId="0AA4C7AB" w14:textId="77777777" w:rsidR="000C3FC2" w:rsidRDefault="000C3FC2" w:rsidP="00A421C2">
            <w:pPr>
              <w:tabs>
                <w:tab w:val="left" w:pos="7200"/>
              </w:tabs>
            </w:pPr>
            <w:r>
              <w:t>Medical Attention for Nephropathy</w:t>
            </w:r>
          </w:p>
        </w:tc>
        <w:tc>
          <w:tcPr>
            <w:tcW w:w="5418" w:type="dxa"/>
          </w:tcPr>
          <w:p w14:paraId="0AA4C7AC" w14:textId="77777777" w:rsidR="000C3FC2" w:rsidRDefault="000C3FC2" w:rsidP="00A421C2">
            <w:pPr>
              <w:tabs>
                <w:tab w:val="left" w:pos="7200"/>
              </w:tabs>
            </w:pPr>
            <w:r>
              <w:t>Percent of members who have had attention to the presence of nephropathy</w:t>
            </w:r>
          </w:p>
        </w:tc>
      </w:tr>
      <w:tr w:rsidR="000C3FC2" w14:paraId="0AA4C7B1" w14:textId="77777777" w:rsidTr="000C3FC2">
        <w:tc>
          <w:tcPr>
            <w:tcW w:w="4158" w:type="dxa"/>
          </w:tcPr>
          <w:p w14:paraId="0AA4C7AE" w14:textId="77777777" w:rsidR="000C3FC2" w:rsidRDefault="000C3FC2" w:rsidP="00A421C2">
            <w:pPr>
              <w:tabs>
                <w:tab w:val="left" w:pos="7200"/>
              </w:tabs>
            </w:pPr>
            <w:r>
              <w:t>Blood Pressure Control</w:t>
            </w:r>
          </w:p>
          <w:p w14:paraId="0AA4C7AF" w14:textId="77777777" w:rsidR="000C3FC2" w:rsidRPr="000C3FC2" w:rsidRDefault="000C3FC2" w:rsidP="000C3FC2">
            <w:pPr>
              <w:pStyle w:val="ListParagraph"/>
              <w:numPr>
                <w:ilvl w:val="0"/>
                <w:numId w:val="6"/>
              </w:numPr>
              <w:tabs>
                <w:tab w:val="left" w:pos="7200"/>
              </w:tabs>
            </w:pPr>
            <w:r>
              <w:t>&lt;140/80 mmHg</w:t>
            </w:r>
          </w:p>
        </w:tc>
        <w:tc>
          <w:tcPr>
            <w:tcW w:w="5418" w:type="dxa"/>
          </w:tcPr>
          <w:p w14:paraId="0AA4C7B0" w14:textId="77777777" w:rsidR="000C3FC2" w:rsidRDefault="000C3FC2" w:rsidP="00A421C2">
            <w:pPr>
              <w:tabs>
                <w:tab w:val="left" w:pos="7200"/>
              </w:tabs>
            </w:pPr>
            <w:r>
              <w:t>Percent of members with acceptable BP&lt;140/80 mm Hg</w:t>
            </w:r>
          </w:p>
        </w:tc>
      </w:tr>
    </w:tbl>
    <w:p w14:paraId="0AA4C7B2" w14:textId="77777777" w:rsidR="00951F90" w:rsidRDefault="00951F90" w:rsidP="00A421C2">
      <w:pPr>
        <w:tabs>
          <w:tab w:val="left" w:pos="7200"/>
        </w:tabs>
      </w:pPr>
    </w:p>
    <w:p w14:paraId="0AA4C7B3" w14:textId="77777777" w:rsidR="000C3FC2" w:rsidRPr="0093043A" w:rsidRDefault="000C3FC2" w:rsidP="00A421C2">
      <w:pPr>
        <w:tabs>
          <w:tab w:val="left" w:pos="7200"/>
        </w:tabs>
        <w:rPr>
          <w:b/>
          <w:u w:val="single"/>
        </w:rPr>
      </w:pPr>
      <w:r w:rsidRPr="0093043A">
        <w:rPr>
          <w:b/>
          <w:u w:val="single"/>
        </w:rPr>
        <w:t>Discussion</w:t>
      </w:r>
    </w:p>
    <w:p w14:paraId="0AA4C7B4" w14:textId="77777777" w:rsidR="000C3FC2" w:rsidRDefault="000C3FC2" w:rsidP="00A421C2">
      <w:pPr>
        <w:tabs>
          <w:tab w:val="left" w:pos="7200"/>
        </w:tabs>
      </w:pPr>
    </w:p>
    <w:p w14:paraId="0AA4C7B5" w14:textId="77777777" w:rsidR="000C3FC2" w:rsidRDefault="000C3FC2" w:rsidP="00A421C2">
      <w:pPr>
        <w:tabs>
          <w:tab w:val="left" w:pos="7200"/>
        </w:tabs>
      </w:pPr>
      <w:r>
        <w:t xml:space="preserve">In 2009, the International Expert Committee that included representatives of the ADA, the International Diabetes Federation (IDF), and the European Association for the Study of Diabetes (EASD) recommended use of A1C to diagnose diabetes, with a threshold of </w:t>
      </w:r>
      <w:r>
        <w:rPr>
          <w:rFonts w:cs="Times New Roman"/>
        </w:rPr>
        <w:t>≥</w:t>
      </w:r>
      <w:r>
        <w:t>6.5%.  In 2010 the ADA adopted this criterion.  The A1C has several advantages over Fasting Plasma Glucose and Oral Glucose Tolerance Testing, including greater convenience, since fasting is not required; evidence to suggest greater preanalytical stability; and less day-to-day perturbations during periods of stress or illness.</w:t>
      </w:r>
    </w:p>
    <w:p w14:paraId="0AA4C7B6" w14:textId="77777777" w:rsidR="000C3FC2" w:rsidRDefault="000C3FC2" w:rsidP="00A421C2">
      <w:pPr>
        <w:tabs>
          <w:tab w:val="left" w:pos="7200"/>
        </w:tabs>
      </w:pPr>
    </w:p>
    <w:p w14:paraId="0AA4C7B7" w14:textId="77777777" w:rsidR="000C3FC2" w:rsidRDefault="000C3FC2" w:rsidP="00A421C2">
      <w:pPr>
        <w:tabs>
          <w:tab w:val="left" w:pos="7200"/>
        </w:tabs>
      </w:pPr>
      <w:r>
        <w:t xml:space="preserve">As with most diagnostic tests, a test result diagnostic of diabetes should be repeated to rule out laboratory error, unless the diagnosis is clear on clinical grounds, such as a patient with hyperglycemic crisis or classic symptoms of hyperglycemia and a random plasma glucose </w:t>
      </w:r>
      <w:r>
        <w:rPr>
          <w:rFonts w:cs="Times New Roman"/>
        </w:rPr>
        <w:t>≥</w:t>
      </w:r>
      <w:r>
        <w:t xml:space="preserve"> 200 mg/dl.  It is preferable that the same test be repea</w:t>
      </w:r>
      <w:r w:rsidR="00A259F4">
        <w:t>ted for confirmation, since the</w:t>
      </w:r>
      <w:r>
        <w:t>r</w:t>
      </w:r>
      <w:r w:rsidR="00A259F4">
        <w:t>e</w:t>
      </w:r>
      <w:r>
        <w:t xml:space="preserve"> will</w:t>
      </w:r>
      <w:r w:rsidR="00A259F4">
        <w:t xml:space="preserve"> </w:t>
      </w:r>
      <w:r>
        <w:t>be greater likelihood of concurrence in this case.  However, if the different tests (such as A1C and FPG) are both above the diagnostic thresholds, the diagnosis of diabetes is also confirmed.  If two different tests are available in an individual and the results are discordant, the test whose result is above the diagnostic cut point should be repeated, and the diagnosis is made on the basis of the confirmed test.</w:t>
      </w:r>
      <w:r w:rsidR="00747518">
        <w:t xml:space="preserve">  That is, if a patient meets the diabetes criterion of the A1C (two results </w:t>
      </w:r>
      <w:r w:rsidR="00747518">
        <w:rPr>
          <w:rFonts w:cs="Times New Roman"/>
        </w:rPr>
        <w:t>≥</w:t>
      </w:r>
      <w:r w:rsidR="00747518">
        <w:t xml:space="preserve"> 6.5%) but not the FPG (&lt;126 mg/dl or 7 mmol/l), or vice versa, that person should be considered to have diabetes.</w:t>
      </w:r>
    </w:p>
    <w:p w14:paraId="0AA4C7B8" w14:textId="77777777" w:rsidR="00AB2857" w:rsidRDefault="00AB2857" w:rsidP="00A421C2">
      <w:pPr>
        <w:tabs>
          <w:tab w:val="left" w:pos="7200"/>
        </w:tabs>
      </w:pPr>
    </w:p>
    <w:p w14:paraId="0AA4C7B9" w14:textId="77777777" w:rsidR="00AB2857" w:rsidRDefault="00AB2857" w:rsidP="00A421C2">
      <w:pPr>
        <w:tabs>
          <w:tab w:val="left" w:pos="7200"/>
        </w:tabs>
      </w:pPr>
      <w:r>
        <w:t xml:space="preserve">Several prospective studies that used A1C to predict the progression to diabetes demonstrated a strong, continuous association between A1C and subsequent diabetes.  Those with an A1C between 5.5 and 6.0% had a substantially increased risk of developing diabetes with 5-year incidences ranging between 9-25%.  An A1C range of 6.0-6.5% had a 5-year risk between 25-50% and relative risk </w:t>
      </w:r>
      <w:r w:rsidR="00C356D7">
        <w:t>20 times higher compared to an A1C of 5.0%.  Baseline A1C was a stronger predictor of subsequent diabetes and cardiovascular events than fasting glucose.  Hence, it is reasonable to consider an A1C range of 5.7% - 6.4% as identifying individuals with high risk</w:t>
      </w:r>
      <w:r w:rsidR="00A259F4">
        <w:t xml:space="preserve"> </w:t>
      </w:r>
      <w:r w:rsidR="00C356D7">
        <w:t xml:space="preserve">for future diabetes, a state that may be referred to as “prediabetes”.  These individuals should be informed of their risk and counseled about effective strategies to lower that risk.  Interventions should be </w:t>
      </w:r>
      <w:r w:rsidR="00403CBD">
        <w:t>most intensive and follow-up most vigilant for those with A1C’s above 6.0%, who should be considered to be at high risk.</w:t>
      </w:r>
    </w:p>
    <w:p w14:paraId="0AA4C7BA" w14:textId="77777777" w:rsidR="00403CBD" w:rsidRDefault="00403CBD" w:rsidP="00A421C2">
      <w:pPr>
        <w:tabs>
          <w:tab w:val="left" w:pos="7200"/>
        </w:tabs>
      </w:pPr>
    </w:p>
    <w:p w14:paraId="0AA4C7BB" w14:textId="77777777" w:rsidR="00403CBD" w:rsidRDefault="00403CBD" w:rsidP="00A421C2">
      <w:pPr>
        <w:tabs>
          <w:tab w:val="left" w:pos="7200"/>
        </w:tabs>
      </w:pPr>
      <w:r>
        <w:t xml:space="preserve">Based on the results of clinical trials and the known risk of progression of “prediabetes” to diabetes, persons with A1C of 5.7-6.4% should be counseled on lifestyle changes with goals of 7% weight loss and moderate physical activity of at least 150 min/week.  Regarding the more difficult issue of drug therapy for diabetes prevention, a consensus panel felt that Metformin should be the only drug considered.  </w:t>
      </w:r>
      <w:r w:rsidR="00EB23CB">
        <w:t>For other drugs, the issues of cost, side effects, and lack of persistence in effect in some studies led the panel to not recommend their use in diabetes prevention.</w:t>
      </w:r>
    </w:p>
    <w:p w14:paraId="0AA4C7BC" w14:textId="77777777" w:rsidR="00EB23CB" w:rsidRDefault="00EB23CB" w:rsidP="00A421C2">
      <w:pPr>
        <w:tabs>
          <w:tab w:val="left" w:pos="7200"/>
        </w:tabs>
      </w:pPr>
    </w:p>
    <w:p w14:paraId="0AA4C7BD" w14:textId="77777777" w:rsidR="00EB23CB" w:rsidRDefault="00EB23CB" w:rsidP="00A421C2">
      <w:pPr>
        <w:tabs>
          <w:tab w:val="left" w:pos="7200"/>
        </w:tabs>
      </w:pPr>
      <w:r>
        <w:t xml:space="preserve">Because A1C is thought to reflect average glycemia over several months and has strong predictive value for diabetes complications, A1C testing should be performed routinely in all patients with diabetes, at initial assessment and then as part of continuing care.  Measurement approximately every 3 months determines whether a patient’s glycemic targets have been </w:t>
      </w:r>
      <w:r>
        <w:lastRenderedPageBreak/>
        <w:t>reached and maintained.  Some patients with stable glycemia well within target range may do well with testing only twice a year, while unstable or intensively managed patients (e.g., pregnant type 1 patients) may be tested more frequently than every 3 months.  A1C does not provide a measure of glycemic variability or hypoglycemia.  For patients prone to glycemic variability (especially type 1 patients, or type 2 patients with severe insulin deficiency), glycemic control is best judged by the combination of results of self-monitoring of blood glucose (</w:t>
      </w:r>
      <w:r w:rsidR="00B47493">
        <w:t>SMBG) testing and A1C.  The A1C may also serve to check on the accuracy of the patient’s meter (or the patient’s reported SMBG results) and the adequacy of the SMBG testing schedule.</w:t>
      </w:r>
    </w:p>
    <w:p w14:paraId="0AA4C7BE" w14:textId="77777777" w:rsidR="00B47493" w:rsidRDefault="00B47493" w:rsidP="00A421C2">
      <w:pPr>
        <w:tabs>
          <w:tab w:val="left" w:pos="7200"/>
        </w:tabs>
      </w:pPr>
    </w:p>
    <w:p w14:paraId="0AA4C7BF" w14:textId="77777777" w:rsidR="00B47493" w:rsidRDefault="00B47493" w:rsidP="00A421C2">
      <w:pPr>
        <w:tabs>
          <w:tab w:val="left" w:pos="7200"/>
        </w:tabs>
      </w:pPr>
      <w:r>
        <w:t xml:space="preserve">Lowering the A1C to around 7% or below has been shown to reduce microvascular and neuropathic complications of diabetes and, if implemented soon after the diagnosis of diabetes, is associated with long-term reduction in macrovascular disease.  Therefore, a </w:t>
      </w:r>
      <w:r w:rsidR="00F900A8">
        <w:t xml:space="preserve">reasonable goal for most non-pregnant adults is an A1C </w:t>
      </w:r>
      <w:r w:rsidR="00F900A8">
        <w:rPr>
          <w:rFonts w:ascii="Calibri" w:hAnsi="Calibri" w:cs="Calibri"/>
        </w:rPr>
        <w:t>≤</w:t>
      </w:r>
      <w:r w:rsidR="00F900A8">
        <w:t xml:space="preserve"> 7%.  Because several randomized trials suggest a small but incremental benefit in microvascular outcomes with A1C values closer to normal, providers might reasonably suggest more stringent A1C goals for selected individual patients, if this can be achieved without significant hypoglycemia or other adverse effects of treatment.  Such patients might include those with short duration of diabetes, long life expectancy, and no significant cardiovascular disease.  Conversely, less stringent A1C goals may be appropriate for patients with a history of severe hypoglycemia, limited life expectancy, advanced microvascular or macrovascular complications, extensive comorbid conditions and those with longstanding diabetes in whom the general goal is difficult to attain despite appropriate glucose monitoring and effective doses of multiple glucose-lowering agents including insulin.</w:t>
      </w:r>
    </w:p>
    <w:p w14:paraId="0AA4C7C0" w14:textId="77777777" w:rsidR="008A0C89" w:rsidRDefault="008A0C89" w:rsidP="00A421C2">
      <w:pPr>
        <w:tabs>
          <w:tab w:val="left" w:pos="7200"/>
        </w:tabs>
      </w:pPr>
    </w:p>
    <w:p w14:paraId="0AA4C7C1" w14:textId="77777777" w:rsidR="008A0C89" w:rsidRDefault="008A0C89" w:rsidP="00C014F3">
      <w:pPr>
        <w:tabs>
          <w:tab w:val="left" w:pos="7200"/>
        </w:tabs>
        <w:spacing w:after="160"/>
      </w:pPr>
      <w:r w:rsidRPr="008A0C89">
        <w:rPr>
          <w:b/>
          <w:u w:val="single"/>
        </w:rPr>
        <w:t>References</w:t>
      </w:r>
      <w:r w:rsidR="00C014F3">
        <w:rPr>
          <w:b/>
          <w:u w:val="single"/>
        </w:rPr>
        <w:t>:</w:t>
      </w:r>
    </w:p>
    <w:p w14:paraId="0AA4C7C2" w14:textId="77777777" w:rsidR="008A0C89" w:rsidRDefault="008A0C89" w:rsidP="00C014F3">
      <w:pPr>
        <w:tabs>
          <w:tab w:val="left" w:pos="7200"/>
        </w:tabs>
      </w:pPr>
      <w:r>
        <w:t>American Diabetes Association, “Standards of Medical Care in Diabetes – 2011”, Diabetes Care, January 2011, Vol. 34, no. supplement 1, 511-561.</w:t>
      </w:r>
    </w:p>
    <w:p w14:paraId="0AA4C7C3" w14:textId="77777777" w:rsidR="00C014F3" w:rsidRDefault="00C014F3" w:rsidP="00C014F3">
      <w:pPr>
        <w:pStyle w:val="ListParagraph"/>
        <w:tabs>
          <w:tab w:val="left" w:pos="7200"/>
        </w:tabs>
      </w:pPr>
    </w:p>
    <w:p w14:paraId="0AA4C7C4" w14:textId="77777777" w:rsidR="008A0C89" w:rsidRDefault="008A0C89" w:rsidP="00C014F3">
      <w:pPr>
        <w:tabs>
          <w:tab w:val="left" w:pos="7200"/>
        </w:tabs>
      </w:pPr>
      <w:r>
        <w:t>NCQA Healthcare Effectiveness Data and Information Set (HEDIS), “HEDIS and Quality Measurement, 2012 HEDIS Measures”, National Committee for Quality Assurance, 2011.</w:t>
      </w:r>
    </w:p>
    <w:sectPr w:rsidR="008A0C89" w:rsidSect="000C3F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4C7C7" w14:textId="77777777" w:rsidR="00C014F3" w:rsidRDefault="00C014F3" w:rsidP="00C014F3">
      <w:r>
        <w:separator/>
      </w:r>
    </w:p>
  </w:endnote>
  <w:endnote w:type="continuationSeparator" w:id="0">
    <w:p w14:paraId="0AA4C7C8" w14:textId="77777777" w:rsidR="00C014F3" w:rsidRDefault="00C014F3" w:rsidP="00C0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4A8B" w14:textId="77777777" w:rsidR="00407DB2" w:rsidRDefault="00407D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4C7D4" w14:textId="77777777" w:rsidR="00C014F3" w:rsidRPr="00C014F3" w:rsidRDefault="00C014F3" w:rsidP="00C014F3">
    <w:pPr>
      <w:pStyle w:val="Footer"/>
      <w:jc w:val="right"/>
    </w:pPr>
    <w:r>
      <w:fldChar w:fldCharType="begin"/>
    </w:r>
    <w:r>
      <w:instrText xml:space="preserve"> PAGE   \* MERGEFORMAT </w:instrText>
    </w:r>
    <w:r>
      <w:fldChar w:fldCharType="separate"/>
    </w:r>
    <w:r w:rsidR="00407DB2">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C6C4A" w14:textId="77777777" w:rsidR="00407DB2" w:rsidRDefault="00407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4C7C5" w14:textId="77777777" w:rsidR="00C014F3" w:rsidRDefault="00C014F3" w:rsidP="00C014F3">
      <w:r>
        <w:separator/>
      </w:r>
    </w:p>
  </w:footnote>
  <w:footnote w:type="continuationSeparator" w:id="0">
    <w:p w14:paraId="0AA4C7C6" w14:textId="77777777" w:rsidR="00C014F3" w:rsidRDefault="00C014F3" w:rsidP="00C01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D497" w14:textId="77777777" w:rsidR="00407DB2" w:rsidRDefault="00407D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870"/>
      <w:gridCol w:w="2250"/>
    </w:tblGrid>
    <w:tr w:rsidR="00407DB2" w14:paraId="051D44FC" w14:textId="77777777" w:rsidTr="00407DB2">
      <w:tc>
        <w:tcPr>
          <w:tcW w:w="3258" w:type="dxa"/>
          <w:tcBorders>
            <w:top w:val="single" w:sz="4" w:space="0" w:color="auto"/>
            <w:left w:val="single" w:sz="4" w:space="0" w:color="auto"/>
            <w:bottom w:val="single" w:sz="4" w:space="0" w:color="auto"/>
            <w:right w:val="single" w:sz="4" w:space="0" w:color="auto"/>
          </w:tcBorders>
          <w:hideMark/>
        </w:tcPr>
        <w:p w14:paraId="4AA1D255" w14:textId="77777777" w:rsidR="00407DB2" w:rsidRDefault="00407DB2" w:rsidP="00407DB2">
          <w:pPr>
            <w:pStyle w:val="Header"/>
            <w:spacing w:line="276" w:lineRule="auto"/>
            <w:rPr>
              <w:rFonts w:ascii="Calibri" w:hAnsi="Calibri"/>
              <w:b/>
            </w:rPr>
          </w:pPr>
          <w:bookmarkStart w:id="0" w:name="_GoBack"/>
          <w:r>
            <w:rPr>
              <w:rFonts w:ascii="Calibri" w:hAnsi="Calibri"/>
              <w:b/>
              <w:sz w:val="22"/>
            </w:rPr>
            <w:t>HCLA Clinical Practice Protocols</w:t>
          </w:r>
        </w:p>
      </w:tc>
      <w:tc>
        <w:tcPr>
          <w:tcW w:w="3870" w:type="dxa"/>
          <w:tcBorders>
            <w:top w:val="single" w:sz="4" w:space="0" w:color="auto"/>
            <w:left w:val="single" w:sz="4" w:space="0" w:color="auto"/>
            <w:bottom w:val="single" w:sz="4" w:space="0" w:color="auto"/>
            <w:right w:val="single" w:sz="4" w:space="0" w:color="auto"/>
          </w:tcBorders>
          <w:hideMark/>
        </w:tcPr>
        <w:p w14:paraId="3D0EF6E6" w14:textId="2EE85C24" w:rsidR="00407DB2" w:rsidRDefault="00407DB2" w:rsidP="00407DB2">
          <w:pPr>
            <w:pStyle w:val="Header"/>
            <w:spacing w:line="276" w:lineRule="auto"/>
            <w:rPr>
              <w:rFonts w:ascii="Calibri" w:hAnsi="Calibri"/>
              <w:b/>
            </w:rPr>
          </w:pPr>
          <w:r>
            <w:rPr>
              <w:rFonts w:ascii="Calibri" w:hAnsi="Calibri"/>
              <w:b/>
              <w:sz w:val="22"/>
            </w:rPr>
            <w:t>Hemoglobin A1C</w:t>
          </w:r>
        </w:p>
      </w:tc>
      <w:tc>
        <w:tcPr>
          <w:tcW w:w="2250" w:type="dxa"/>
          <w:tcBorders>
            <w:top w:val="single" w:sz="4" w:space="0" w:color="auto"/>
            <w:left w:val="single" w:sz="4" w:space="0" w:color="auto"/>
            <w:bottom w:val="single" w:sz="4" w:space="0" w:color="auto"/>
            <w:right w:val="single" w:sz="4" w:space="0" w:color="auto"/>
          </w:tcBorders>
          <w:hideMark/>
        </w:tcPr>
        <w:p w14:paraId="02229E3D" w14:textId="77777777" w:rsidR="00407DB2" w:rsidRDefault="00407DB2" w:rsidP="00407DB2">
          <w:pPr>
            <w:pStyle w:val="Header"/>
            <w:spacing w:line="276" w:lineRule="auto"/>
            <w:rPr>
              <w:rFonts w:ascii="Calibri" w:hAnsi="Calibri"/>
              <w:b/>
            </w:rPr>
          </w:pPr>
          <w:r>
            <w:rPr>
              <w:rFonts w:ascii="Calibri" w:hAnsi="Calibri"/>
              <w:b/>
              <w:sz w:val="22"/>
            </w:rPr>
            <w:t>Rev. Date 2015-10-30</w:t>
          </w:r>
        </w:p>
      </w:tc>
    </w:tr>
    <w:bookmarkEnd w:id="0"/>
  </w:tbl>
  <w:p w14:paraId="0AA4C7D1" w14:textId="77777777" w:rsidR="00C014F3" w:rsidRDefault="00C014F3" w:rsidP="00C014F3">
    <w:pPr>
      <w:pStyle w:val="Header"/>
    </w:pPr>
  </w:p>
  <w:p w14:paraId="0AA4C7D3" w14:textId="77777777" w:rsidR="00C014F3" w:rsidRDefault="00C01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ABB58" w14:textId="77777777" w:rsidR="00407DB2" w:rsidRDefault="00407D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C48A9"/>
    <w:multiLevelType w:val="hybridMultilevel"/>
    <w:tmpl w:val="40EC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F6939"/>
    <w:multiLevelType w:val="hybridMultilevel"/>
    <w:tmpl w:val="888A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1A136F"/>
    <w:multiLevelType w:val="hybridMultilevel"/>
    <w:tmpl w:val="73F026B8"/>
    <w:lvl w:ilvl="0" w:tplc="04090001">
      <w:start w:val="1"/>
      <w:numFmt w:val="bullet"/>
      <w:lvlText w:val=""/>
      <w:lvlJc w:val="left"/>
      <w:pPr>
        <w:ind w:left="720" w:hanging="360"/>
      </w:pPr>
      <w:rPr>
        <w:rFonts w:ascii="Symbol" w:hAnsi="Symbol" w:hint="default"/>
      </w:rPr>
    </w:lvl>
    <w:lvl w:ilvl="1" w:tplc="FA86896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D7D54"/>
    <w:multiLevelType w:val="hybridMultilevel"/>
    <w:tmpl w:val="B694F0DA"/>
    <w:lvl w:ilvl="0" w:tplc="2512914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11405B"/>
    <w:multiLevelType w:val="hybridMultilevel"/>
    <w:tmpl w:val="4E4C2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53B73"/>
    <w:multiLevelType w:val="hybridMultilevel"/>
    <w:tmpl w:val="2CE6B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24C29"/>
    <w:rsid w:val="00000894"/>
    <w:rsid w:val="00000B5C"/>
    <w:rsid w:val="000017D9"/>
    <w:rsid w:val="00001CA7"/>
    <w:rsid w:val="00001D02"/>
    <w:rsid w:val="000023BD"/>
    <w:rsid w:val="000023F5"/>
    <w:rsid w:val="0000340B"/>
    <w:rsid w:val="000034C4"/>
    <w:rsid w:val="0000360D"/>
    <w:rsid w:val="00003A3B"/>
    <w:rsid w:val="00003A84"/>
    <w:rsid w:val="000058F4"/>
    <w:rsid w:val="00005C47"/>
    <w:rsid w:val="00005EB4"/>
    <w:rsid w:val="00005F4D"/>
    <w:rsid w:val="0000628D"/>
    <w:rsid w:val="00010341"/>
    <w:rsid w:val="00011676"/>
    <w:rsid w:val="000117DC"/>
    <w:rsid w:val="000118C3"/>
    <w:rsid w:val="00012197"/>
    <w:rsid w:val="000125AC"/>
    <w:rsid w:val="00012BA7"/>
    <w:rsid w:val="00012EE4"/>
    <w:rsid w:val="000135E6"/>
    <w:rsid w:val="000138B7"/>
    <w:rsid w:val="000142A1"/>
    <w:rsid w:val="0001522B"/>
    <w:rsid w:val="00016101"/>
    <w:rsid w:val="0001614A"/>
    <w:rsid w:val="0001616A"/>
    <w:rsid w:val="000162FC"/>
    <w:rsid w:val="000163F2"/>
    <w:rsid w:val="000164D2"/>
    <w:rsid w:val="000204E6"/>
    <w:rsid w:val="000211D4"/>
    <w:rsid w:val="000213CF"/>
    <w:rsid w:val="00021546"/>
    <w:rsid w:val="00021F18"/>
    <w:rsid w:val="0002369F"/>
    <w:rsid w:val="0002386A"/>
    <w:rsid w:val="000239A4"/>
    <w:rsid w:val="00023AA6"/>
    <w:rsid w:val="00023C54"/>
    <w:rsid w:val="0002400A"/>
    <w:rsid w:val="000245E2"/>
    <w:rsid w:val="0002467E"/>
    <w:rsid w:val="000248BE"/>
    <w:rsid w:val="00024A49"/>
    <w:rsid w:val="00025529"/>
    <w:rsid w:val="00025B42"/>
    <w:rsid w:val="00025B9A"/>
    <w:rsid w:val="00025D9D"/>
    <w:rsid w:val="0002624E"/>
    <w:rsid w:val="000263F0"/>
    <w:rsid w:val="000267C7"/>
    <w:rsid w:val="00026CB8"/>
    <w:rsid w:val="00026F6F"/>
    <w:rsid w:val="00026FA5"/>
    <w:rsid w:val="000272F5"/>
    <w:rsid w:val="00027F6E"/>
    <w:rsid w:val="00030133"/>
    <w:rsid w:val="000318F3"/>
    <w:rsid w:val="00032080"/>
    <w:rsid w:val="0003212E"/>
    <w:rsid w:val="00032446"/>
    <w:rsid w:val="000337D0"/>
    <w:rsid w:val="00035488"/>
    <w:rsid w:val="00035584"/>
    <w:rsid w:val="000356F0"/>
    <w:rsid w:val="00035DAE"/>
    <w:rsid w:val="00036182"/>
    <w:rsid w:val="000363CD"/>
    <w:rsid w:val="000369B8"/>
    <w:rsid w:val="00036BC0"/>
    <w:rsid w:val="0003755F"/>
    <w:rsid w:val="00037B6F"/>
    <w:rsid w:val="00040FF3"/>
    <w:rsid w:val="0004265E"/>
    <w:rsid w:val="00042DC0"/>
    <w:rsid w:val="000436DC"/>
    <w:rsid w:val="00043708"/>
    <w:rsid w:val="00043D63"/>
    <w:rsid w:val="00043DEF"/>
    <w:rsid w:val="0004476D"/>
    <w:rsid w:val="00044BC1"/>
    <w:rsid w:val="00044E7F"/>
    <w:rsid w:val="00045C77"/>
    <w:rsid w:val="00046144"/>
    <w:rsid w:val="000467F1"/>
    <w:rsid w:val="00046FAA"/>
    <w:rsid w:val="000475DA"/>
    <w:rsid w:val="00047711"/>
    <w:rsid w:val="00047AD8"/>
    <w:rsid w:val="0005004E"/>
    <w:rsid w:val="000503E8"/>
    <w:rsid w:val="00050791"/>
    <w:rsid w:val="00050865"/>
    <w:rsid w:val="00050F29"/>
    <w:rsid w:val="000538C7"/>
    <w:rsid w:val="00053909"/>
    <w:rsid w:val="00053D98"/>
    <w:rsid w:val="00054335"/>
    <w:rsid w:val="000543B9"/>
    <w:rsid w:val="00055D4F"/>
    <w:rsid w:val="00056DDB"/>
    <w:rsid w:val="0005750F"/>
    <w:rsid w:val="00057B74"/>
    <w:rsid w:val="00057C85"/>
    <w:rsid w:val="00057F5D"/>
    <w:rsid w:val="00060516"/>
    <w:rsid w:val="00060882"/>
    <w:rsid w:val="000608D3"/>
    <w:rsid w:val="00060A21"/>
    <w:rsid w:val="00060A5B"/>
    <w:rsid w:val="00060EAF"/>
    <w:rsid w:val="000623FE"/>
    <w:rsid w:val="000626C7"/>
    <w:rsid w:val="000627A9"/>
    <w:rsid w:val="00062D49"/>
    <w:rsid w:val="00063A91"/>
    <w:rsid w:val="00063B73"/>
    <w:rsid w:val="00063CD1"/>
    <w:rsid w:val="00063E07"/>
    <w:rsid w:val="000649BD"/>
    <w:rsid w:val="00064B85"/>
    <w:rsid w:val="00064E61"/>
    <w:rsid w:val="000653AB"/>
    <w:rsid w:val="00065E10"/>
    <w:rsid w:val="0006603C"/>
    <w:rsid w:val="00067183"/>
    <w:rsid w:val="00067197"/>
    <w:rsid w:val="00067739"/>
    <w:rsid w:val="0007014A"/>
    <w:rsid w:val="00070234"/>
    <w:rsid w:val="00071A62"/>
    <w:rsid w:val="00071C1B"/>
    <w:rsid w:val="0007219A"/>
    <w:rsid w:val="000725BA"/>
    <w:rsid w:val="00072951"/>
    <w:rsid w:val="00072A5B"/>
    <w:rsid w:val="00073D93"/>
    <w:rsid w:val="000747AA"/>
    <w:rsid w:val="000752F9"/>
    <w:rsid w:val="0007570E"/>
    <w:rsid w:val="000765BE"/>
    <w:rsid w:val="000765D2"/>
    <w:rsid w:val="00076DBB"/>
    <w:rsid w:val="00076E8D"/>
    <w:rsid w:val="00077FBD"/>
    <w:rsid w:val="00080909"/>
    <w:rsid w:val="0008179F"/>
    <w:rsid w:val="000817D4"/>
    <w:rsid w:val="00081CC1"/>
    <w:rsid w:val="00081D83"/>
    <w:rsid w:val="00083256"/>
    <w:rsid w:val="000833C3"/>
    <w:rsid w:val="0008341F"/>
    <w:rsid w:val="000837FF"/>
    <w:rsid w:val="00083FB5"/>
    <w:rsid w:val="00085817"/>
    <w:rsid w:val="00085AFB"/>
    <w:rsid w:val="000868BE"/>
    <w:rsid w:val="000868F5"/>
    <w:rsid w:val="00086A2D"/>
    <w:rsid w:val="000879EA"/>
    <w:rsid w:val="00087CF0"/>
    <w:rsid w:val="00090295"/>
    <w:rsid w:val="000912DC"/>
    <w:rsid w:val="0009191A"/>
    <w:rsid w:val="0009191C"/>
    <w:rsid w:val="00091ECD"/>
    <w:rsid w:val="000926E7"/>
    <w:rsid w:val="00093040"/>
    <w:rsid w:val="000930F8"/>
    <w:rsid w:val="0009340C"/>
    <w:rsid w:val="00094ABF"/>
    <w:rsid w:val="00095AEA"/>
    <w:rsid w:val="00095BE8"/>
    <w:rsid w:val="00095D2F"/>
    <w:rsid w:val="00095F37"/>
    <w:rsid w:val="00096759"/>
    <w:rsid w:val="000A2391"/>
    <w:rsid w:val="000A32F2"/>
    <w:rsid w:val="000A3841"/>
    <w:rsid w:val="000A4348"/>
    <w:rsid w:val="000A4C03"/>
    <w:rsid w:val="000A4E5F"/>
    <w:rsid w:val="000A4FBC"/>
    <w:rsid w:val="000A55CF"/>
    <w:rsid w:val="000A5D16"/>
    <w:rsid w:val="000A6070"/>
    <w:rsid w:val="000A62CA"/>
    <w:rsid w:val="000A6AC8"/>
    <w:rsid w:val="000A6BD9"/>
    <w:rsid w:val="000A721D"/>
    <w:rsid w:val="000A733B"/>
    <w:rsid w:val="000A79CA"/>
    <w:rsid w:val="000B058E"/>
    <w:rsid w:val="000B107F"/>
    <w:rsid w:val="000B12C9"/>
    <w:rsid w:val="000B148B"/>
    <w:rsid w:val="000B2088"/>
    <w:rsid w:val="000B209E"/>
    <w:rsid w:val="000B2C56"/>
    <w:rsid w:val="000B2E1C"/>
    <w:rsid w:val="000B2FF2"/>
    <w:rsid w:val="000B31E8"/>
    <w:rsid w:val="000B3742"/>
    <w:rsid w:val="000B4267"/>
    <w:rsid w:val="000B47A2"/>
    <w:rsid w:val="000B4990"/>
    <w:rsid w:val="000B535F"/>
    <w:rsid w:val="000B57A0"/>
    <w:rsid w:val="000B67EF"/>
    <w:rsid w:val="000B7EB7"/>
    <w:rsid w:val="000C0572"/>
    <w:rsid w:val="000C0826"/>
    <w:rsid w:val="000C0943"/>
    <w:rsid w:val="000C178B"/>
    <w:rsid w:val="000C1859"/>
    <w:rsid w:val="000C19A8"/>
    <w:rsid w:val="000C1B47"/>
    <w:rsid w:val="000C2C74"/>
    <w:rsid w:val="000C307B"/>
    <w:rsid w:val="000C30F5"/>
    <w:rsid w:val="000C34AF"/>
    <w:rsid w:val="000C3A9F"/>
    <w:rsid w:val="000C3B6A"/>
    <w:rsid w:val="000C3FC2"/>
    <w:rsid w:val="000C5014"/>
    <w:rsid w:val="000C54D5"/>
    <w:rsid w:val="000C65BE"/>
    <w:rsid w:val="000C7091"/>
    <w:rsid w:val="000C7207"/>
    <w:rsid w:val="000C7629"/>
    <w:rsid w:val="000D02E0"/>
    <w:rsid w:val="000D0A17"/>
    <w:rsid w:val="000D0F16"/>
    <w:rsid w:val="000D1195"/>
    <w:rsid w:val="000D14D3"/>
    <w:rsid w:val="000D21FD"/>
    <w:rsid w:val="000D287F"/>
    <w:rsid w:val="000D2AAF"/>
    <w:rsid w:val="000D2B4B"/>
    <w:rsid w:val="000D3193"/>
    <w:rsid w:val="000D3910"/>
    <w:rsid w:val="000D3A84"/>
    <w:rsid w:val="000D411F"/>
    <w:rsid w:val="000D4D38"/>
    <w:rsid w:val="000D4E87"/>
    <w:rsid w:val="000D556A"/>
    <w:rsid w:val="000D5692"/>
    <w:rsid w:val="000D7995"/>
    <w:rsid w:val="000D7C05"/>
    <w:rsid w:val="000D7CC6"/>
    <w:rsid w:val="000D7EFD"/>
    <w:rsid w:val="000E0F2B"/>
    <w:rsid w:val="000E12F6"/>
    <w:rsid w:val="000E1532"/>
    <w:rsid w:val="000E281A"/>
    <w:rsid w:val="000E2D3C"/>
    <w:rsid w:val="000E3F2D"/>
    <w:rsid w:val="000E40EC"/>
    <w:rsid w:val="000E475F"/>
    <w:rsid w:val="000E4CBC"/>
    <w:rsid w:val="000E5A46"/>
    <w:rsid w:val="000E5D2C"/>
    <w:rsid w:val="000E69FF"/>
    <w:rsid w:val="000E7543"/>
    <w:rsid w:val="000E756D"/>
    <w:rsid w:val="000E7E0D"/>
    <w:rsid w:val="000F1014"/>
    <w:rsid w:val="000F1601"/>
    <w:rsid w:val="000F16C5"/>
    <w:rsid w:val="000F1B97"/>
    <w:rsid w:val="000F318F"/>
    <w:rsid w:val="000F3AB4"/>
    <w:rsid w:val="000F4490"/>
    <w:rsid w:val="000F4AC9"/>
    <w:rsid w:val="000F4E7C"/>
    <w:rsid w:val="000F504C"/>
    <w:rsid w:val="000F54CB"/>
    <w:rsid w:val="000F5A8A"/>
    <w:rsid w:val="000F63F7"/>
    <w:rsid w:val="000F7DB9"/>
    <w:rsid w:val="00100809"/>
    <w:rsid w:val="001009E1"/>
    <w:rsid w:val="00100B53"/>
    <w:rsid w:val="00101225"/>
    <w:rsid w:val="0010126C"/>
    <w:rsid w:val="00102519"/>
    <w:rsid w:val="00102BAE"/>
    <w:rsid w:val="00102DDC"/>
    <w:rsid w:val="001032D8"/>
    <w:rsid w:val="0010352D"/>
    <w:rsid w:val="0010365C"/>
    <w:rsid w:val="00103A94"/>
    <w:rsid w:val="00103C9D"/>
    <w:rsid w:val="00103DFF"/>
    <w:rsid w:val="0010485A"/>
    <w:rsid w:val="00104FB2"/>
    <w:rsid w:val="00105124"/>
    <w:rsid w:val="00105F34"/>
    <w:rsid w:val="00106137"/>
    <w:rsid w:val="001065B9"/>
    <w:rsid w:val="00106AD7"/>
    <w:rsid w:val="00107516"/>
    <w:rsid w:val="0011081C"/>
    <w:rsid w:val="0011109E"/>
    <w:rsid w:val="0011161C"/>
    <w:rsid w:val="0011166F"/>
    <w:rsid w:val="00112CB3"/>
    <w:rsid w:val="00112D8B"/>
    <w:rsid w:val="001141C8"/>
    <w:rsid w:val="001142FD"/>
    <w:rsid w:val="00114660"/>
    <w:rsid w:val="00114795"/>
    <w:rsid w:val="00114FB9"/>
    <w:rsid w:val="00115AF2"/>
    <w:rsid w:val="00115C3A"/>
    <w:rsid w:val="00116C87"/>
    <w:rsid w:val="00117747"/>
    <w:rsid w:val="00117C53"/>
    <w:rsid w:val="00117ECC"/>
    <w:rsid w:val="00117F5E"/>
    <w:rsid w:val="00121295"/>
    <w:rsid w:val="00121323"/>
    <w:rsid w:val="0012132E"/>
    <w:rsid w:val="001214F4"/>
    <w:rsid w:val="00121F8A"/>
    <w:rsid w:val="00122B36"/>
    <w:rsid w:val="00122BCE"/>
    <w:rsid w:val="00122DDC"/>
    <w:rsid w:val="00122E17"/>
    <w:rsid w:val="001232E2"/>
    <w:rsid w:val="001233B2"/>
    <w:rsid w:val="00123FA0"/>
    <w:rsid w:val="00124B13"/>
    <w:rsid w:val="00124EAF"/>
    <w:rsid w:val="00125177"/>
    <w:rsid w:val="00125380"/>
    <w:rsid w:val="001253A6"/>
    <w:rsid w:val="00125886"/>
    <w:rsid w:val="00125AF6"/>
    <w:rsid w:val="00126FF9"/>
    <w:rsid w:val="0012734C"/>
    <w:rsid w:val="001273EC"/>
    <w:rsid w:val="00127A9A"/>
    <w:rsid w:val="00127CA3"/>
    <w:rsid w:val="00130032"/>
    <w:rsid w:val="00131271"/>
    <w:rsid w:val="001318C6"/>
    <w:rsid w:val="00131F0F"/>
    <w:rsid w:val="00132E99"/>
    <w:rsid w:val="00133E6D"/>
    <w:rsid w:val="00134158"/>
    <w:rsid w:val="0013484E"/>
    <w:rsid w:val="001358B5"/>
    <w:rsid w:val="001365C8"/>
    <w:rsid w:val="00136ED2"/>
    <w:rsid w:val="001371B5"/>
    <w:rsid w:val="0013779E"/>
    <w:rsid w:val="00137C0E"/>
    <w:rsid w:val="00137CCF"/>
    <w:rsid w:val="001404CE"/>
    <w:rsid w:val="00141191"/>
    <w:rsid w:val="0014178E"/>
    <w:rsid w:val="00141D67"/>
    <w:rsid w:val="001423E2"/>
    <w:rsid w:val="00142A23"/>
    <w:rsid w:val="00142C2D"/>
    <w:rsid w:val="00142F7B"/>
    <w:rsid w:val="001432E9"/>
    <w:rsid w:val="00144095"/>
    <w:rsid w:val="00145422"/>
    <w:rsid w:val="00145919"/>
    <w:rsid w:val="00145BBC"/>
    <w:rsid w:val="00145F05"/>
    <w:rsid w:val="001465DD"/>
    <w:rsid w:val="0014691F"/>
    <w:rsid w:val="00146938"/>
    <w:rsid w:val="00146D05"/>
    <w:rsid w:val="00146D6F"/>
    <w:rsid w:val="001470BF"/>
    <w:rsid w:val="00147E91"/>
    <w:rsid w:val="00150D3D"/>
    <w:rsid w:val="001516C6"/>
    <w:rsid w:val="001518E5"/>
    <w:rsid w:val="0015368B"/>
    <w:rsid w:val="00153E47"/>
    <w:rsid w:val="00153FA1"/>
    <w:rsid w:val="001542EE"/>
    <w:rsid w:val="0015455D"/>
    <w:rsid w:val="00156E38"/>
    <w:rsid w:val="001570CE"/>
    <w:rsid w:val="001577CE"/>
    <w:rsid w:val="0016023E"/>
    <w:rsid w:val="001602F0"/>
    <w:rsid w:val="0016044A"/>
    <w:rsid w:val="00160528"/>
    <w:rsid w:val="00160D4A"/>
    <w:rsid w:val="001618C6"/>
    <w:rsid w:val="0016225E"/>
    <w:rsid w:val="00162C03"/>
    <w:rsid w:val="00163202"/>
    <w:rsid w:val="001640F1"/>
    <w:rsid w:val="00164BD0"/>
    <w:rsid w:val="00165B39"/>
    <w:rsid w:val="00166450"/>
    <w:rsid w:val="001668B3"/>
    <w:rsid w:val="00167516"/>
    <w:rsid w:val="0017079A"/>
    <w:rsid w:val="00170A19"/>
    <w:rsid w:val="00170B95"/>
    <w:rsid w:val="001718BF"/>
    <w:rsid w:val="001722FC"/>
    <w:rsid w:val="00172AD4"/>
    <w:rsid w:val="00173438"/>
    <w:rsid w:val="0017352B"/>
    <w:rsid w:val="001742F6"/>
    <w:rsid w:val="00174D8E"/>
    <w:rsid w:val="001754BD"/>
    <w:rsid w:val="001756B9"/>
    <w:rsid w:val="00175A2B"/>
    <w:rsid w:val="00175DA3"/>
    <w:rsid w:val="001760FC"/>
    <w:rsid w:val="001765CB"/>
    <w:rsid w:val="00177CE7"/>
    <w:rsid w:val="00180FFA"/>
    <w:rsid w:val="0018125B"/>
    <w:rsid w:val="00182210"/>
    <w:rsid w:val="00182EA6"/>
    <w:rsid w:val="00183E61"/>
    <w:rsid w:val="0018424A"/>
    <w:rsid w:val="0018565D"/>
    <w:rsid w:val="0018603B"/>
    <w:rsid w:val="0018648A"/>
    <w:rsid w:val="001867BE"/>
    <w:rsid w:val="0018718A"/>
    <w:rsid w:val="001873DB"/>
    <w:rsid w:val="001906A9"/>
    <w:rsid w:val="001909E1"/>
    <w:rsid w:val="00190C2A"/>
    <w:rsid w:val="00190C5B"/>
    <w:rsid w:val="001912C4"/>
    <w:rsid w:val="001912DF"/>
    <w:rsid w:val="00191896"/>
    <w:rsid w:val="001927AD"/>
    <w:rsid w:val="00193168"/>
    <w:rsid w:val="00193DDA"/>
    <w:rsid w:val="00194E5B"/>
    <w:rsid w:val="00195380"/>
    <w:rsid w:val="00196308"/>
    <w:rsid w:val="001967C7"/>
    <w:rsid w:val="00196824"/>
    <w:rsid w:val="00196A4C"/>
    <w:rsid w:val="0019730D"/>
    <w:rsid w:val="0019747A"/>
    <w:rsid w:val="001A094A"/>
    <w:rsid w:val="001A1BFC"/>
    <w:rsid w:val="001A1C09"/>
    <w:rsid w:val="001A21EB"/>
    <w:rsid w:val="001A3276"/>
    <w:rsid w:val="001A3674"/>
    <w:rsid w:val="001A39B9"/>
    <w:rsid w:val="001A3FD1"/>
    <w:rsid w:val="001A4020"/>
    <w:rsid w:val="001A4BA5"/>
    <w:rsid w:val="001A59E7"/>
    <w:rsid w:val="001A5CDA"/>
    <w:rsid w:val="001A5FCA"/>
    <w:rsid w:val="001A658E"/>
    <w:rsid w:val="001A6752"/>
    <w:rsid w:val="001A6753"/>
    <w:rsid w:val="001A7CDD"/>
    <w:rsid w:val="001B0694"/>
    <w:rsid w:val="001B087B"/>
    <w:rsid w:val="001B090B"/>
    <w:rsid w:val="001B0AA4"/>
    <w:rsid w:val="001B1576"/>
    <w:rsid w:val="001B197C"/>
    <w:rsid w:val="001B1A5C"/>
    <w:rsid w:val="001B2D03"/>
    <w:rsid w:val="001B34E6"/>
    <w:rsid w:val="001B35DA"/>
    <w:rsid w:val="001B379F"/>
    <w:rsid w:val="001B3871"/>
    <w:rsid w:val="001B39B5"/>
    <w:rsid w:val="001B3A47"/>
    <w:rsid w:val="001B3ED1"/>
    <w:rsid w:val="001B4653"/>
    <w:rsid w:val="001B504D"/>
    <w:rsid w:val="001B6062"/>
    <w:rsid w:val="001B684B"/>
    <w:rsid w:val="001C08BD"/>
    <w:rsid w:val="001C0C7D"/>
    <w:rsid w:val="001C1090"/>
    <w:rsid w:val="001C2BAA"/>
    <w:rsid w:val="001C2CA6"/>
    <w:rsid w:val="001C3235"/>
    <w:rsid w:val="001C3916"/>
    <w:rsid w:val="001C444D"/>
    <w:rsid w:val="001C45AB"/>
    <w:rsid w:val="001C4712"/>
    <w:rsid w:val="001C537B"/>
    <w:rsid w:val="001C5507"/>
    <w:rsid w:val="001C5B7D"/>
    <w:rsid w:val="001C5EED"/>
    <w:rsid w:val="001C67E6"/>
    <w:rsid w:val="001C7B30"/>
    <w:rsid w:val="001D0671"/>
    <w:rsid w:val="001D0705"/>
    <w:rsid w:val="001D0F1D"/>
    <w:rsid w:val="001D11C2"/>
    <w:rsid w:val="001D1391"/>
    <w:rsid w:val="001D1FA7"/>
    <w:rsid w:val="001D1FDB"/>
    <w:rsid w:val="001D2390"/>
    <w:rsid w:val="001D28EB"/>
    <w:rsid w:val="001D33EE"/>
    <w:rsid w:val="001D3693"/>
    <w:rsid w:val="001D377F"/>
    <w:rsid w:val="001D39A8"/>
    <w:rsid w:val="001D3BFD"/>
    <w:rsid w:val="001D46ED"/>
    <w:rsid w:val="001D5A8A"/>
    <w:rsid w:val="001D5F23"/>
    <w:rsid w:val="001D6CA1"/>
    <w:rsid w:val="001D6F4B"/>
    <w:rsid w:val="001D7943"/>
    <w:rsid w:val="001D7C1C"/>
    <w:rsid w:val="001D7DA6"/>
    <w:rsid w:val="001E10D5"/>
    <w:rsid w:val="001E11CE"/>
    <w:rsid w:val="001E20EC"/>
    <w:rsid w:val="001E2802"/>
    <w:rsid w:val="001E29E8"/>
    <w:rsid w:val="001E3BFE"/>
    <w:rsid w:val="001E3FFD"/>
    <w:rsid w:val="001E421C"/>
    <w:rsid w:val="001E438C"/>
    <w:rsid w:val="001E4707"/>
    <w:rsid w:val="001E47F9"/>
    <w:rsid w:val="001E5D7E"/>
    <w:rsid w:val="001F0395"/>
    <w:rsid w:val="001F1450"/>
    <w:rsid w:val="001F1B69"/>
    <w:rsid w:val="001F214D"/>
    <w:rsid w:val="001F2579"/>
    <w:rsid w:val="001F279A"/>
    <w:rsid w:val="001F3498"/>
    <w:rsid w:val="001F406F"/>
    <w:rsid w:val="001F4E7A"/>
    <w:rsid w:val="001F5877"/>
    <w:rsid w:val="001F5AA8"/>
    <w:rsid w:val="001F5DCB"/>
    <w:rsid w:val="001F5F2D"/>
    <w:rsid w:val="001F6D3E"/>
    <w:rsid w:val="001F7526"/>
    <w:rsid w:val="001F7850"/>
    <w:rsid w:val="001F79B7"/>
    <w:rsid w:val="0020194F"/>
    <w:rsid w:val="00204369"/>
    <w:rsid w:val="00204555"/>
    <w:rsid w:val="0020494B"/>
    <w:rsid w:val="00205726"/>
    <w:rsid w:val="00205FEA"/>
    <w:rsid w:val="00206F3D"/>
    <w:rsid w:val="002070CA"/>
    <w:rsid w:val="0020779A"/>
    <w:rsid w:val="002079AF"/>
    <w:rsid w:val="00210BC5"/>
    <w:rsid w:val="00210FBB"/>
    <w:rsid w:val="00212184"/>
    <w:rsid w:val="00212FFA"/>
    <w:rsid w:val="00213115"/>
    <w:rsid w:val="00213D0D"/>
    <w:rsid w:val="00213E7F"/>
    <w:rsid w:val="002142D8"/>
    <w:rsid w:val="002149D7"/>
    <w:rsid w:val="00214C88"/>
    <w:rsid w:val="00215604"/>
    <w:rsid w:val="002156D2"/>
    <w:rsid w:val="00215818"/>
    <w:rsid w:val="002163B9"/>
    <w:rsid w:val="0021655F"/>
    <w:rsid w:val="00217501"/>
    <w:rsid w:val="002200BE"/>
    <w:rsid w:val="00220132"/>
    <w:rsid w:val="00220747"/>
    <w:rsid w:val="00222013"/>
    <w:rsid w:val="002220A8"/>
    <w:rsid w:val="002222D4"/>
    <w:rsid w:val="00222E2A"/>
    <w:rsid w:val="0022376E"/>
    <w:rsid w:val="00225995"/>
    <w:rsid w:val="002259D4"/>
    <w:rsid w:val="00225A95"/>
    <w:rsid w:val="00225E40"/>
    <w:rsid w:val="002262DD"/>
    <w:rsid w:val="00226D36"/>
    <w:rsid w:val="00226FEA"/>
    <w:rsid w:val="00227154"/>
    <w:rsid w:val="0022739D"/>
    <w:rsid w:val="002274ED"/>
    <w:rsid w:val="00227B85"/>
    <w:rsid w:val="00227BD2"/>
    <w:rsid w:val="002304EE"/>
    <w:rsid w:val="00230D14"/>
    <w:rsid w:val="002316CA"/>
    <w:rsid w:val="00231E90"/>
    <w:rsid w:val="002339CD"/>
    <w:rsid w:val="002349EE"/>
    <w:rsid w:val="00234E7B"/>
    <w:rsid w:val="00235A66"/>
    <w:rsid w:val="00235ACD"/>
    <w:rsid w:val="00237031"/>
    <w:rsid w:val="00237319"/>
    <w:rsid w:val="0023798C"/>
    <w:rsid w:val="00240637"/>
    <w:rsid w:val="00240998"/>
    <w:rsid w:val="00240C97"/>
    <w:rsid w:val="00240D16"/>
    <w:rsid w:val="00241935"/>
    <w:rsid w:val="00242B6F"/>
    <w:rsid w:val="00243764"/>
    <w:rsid w:val="00243EB3"/>
    <w:rsid w:val="0024421F"/>
    <w:rsid w:val="00244813"/>
    <w:rsid w:val="00245645"/>
    <w:rsid w:val="00246E3B"/>
    <w:rsid w:val="002509FE"/>
    <w:rsid w:val="00250D6F"/>
    <w:rsid w:val="00251056"/>
    <w:rsid w:val="0025107D"/>
    <w:rsid w:val="002510C4"/>
    <w:rsid w:val="00251257"/>
    <w:rsid w:val="0025141E"/>
    <w:rsid w:val="00251EA0"/>
    <w:rsid w:val="00252A3B"/>
    <w:rsid w:val="00252C77"/>
    <w:rsid w:val="002539FA"/>
    <w:rsid w:val="00254963"/>
    <w:rsid w:val="002549A7"/>
    <w:rsid w:val="002550E6"/>
    <w:rsid w:val="002554FA"/>
    <w:rsid w:val="00255EFD"/>
    <w:rsid w:val="00255FF5"/>
    <w:rsid w:val="0025628E"/>
    <w:rsid w:val="00256623"/>
    <w:rsid w:val="0025699C"/>
    <w:rsid w:val="00256B19"/>
    <w:rsid w:val="00257984"/>
    <w:rsid w:val="00257E65"/>
    <w:rsid w:val="00257F40"/>
    <w:rsid w:val="0026048E"/>
    <w:rsid w:val="00260D1C"/>
    <w:rsid w:val="002618A1"/>
    <w:rsid w:val="00262081"/>
    <w:rsid w:val="00262287"/>
    <w:rsid w:val="0026237B"/>
    <w:rsid w:val="00262FE9"/>
    <w:rsid w:val="00263337"/>
    <w:rsid w:val="002636C9"/>
    <w:rsid w:val="00263F30"/>
    <w:rsid w:val="00264AD2"/>
    <w:rsid w:val="00264D2D"/>
    <w:rsid w:val="00264D41"/>
    <w:rsid w:val="00264F6F"/>
    <w:rsid w:val="002651BD"/>
    <w:rsid w:val="002653D1"/>
    <w:rsid w:val="0026578F"/>
    <w:rsid w:val="00265E2B"/>
    <w:rsid w:val="00267145"/>
    <w:rsid w:val="00267438"/>
    <w:rsid w:val="00267C1A"/>
    <w:rsid w:val="00270AD4"/>
    <w:rsid w:val="00271F12"/>
    <w:rsid w:val="00272399"/>
    <w:rsid w:val="00272B67"/>
    <w:rsid w:val="0027358C"/>
    <w:rsid w:val="0027460B"/>
    <w:rsid w:val="0027492C"/>
    <w:rsid w:val="00274B92"/>
    <w:rsid w:val="00275323"/>
    <w:rsid w:val="00275984"/>
    <w:rsid w:val="0027647F"/>
    <w:rsid w:val="00276921"/>
    <w:rsid w:val="002770D7"/>
    <w:rsid w:val="0027728B"/>
    <w:rsid w:val="00281EF0"/>
    <w:rsid w:val="00282016"/>
    <w:rsid w:val="002826A2"/>
    <w:rsid w:val="00282C3E"/>
    <w:rsid w:val="0028439F"/>
    <w:rsid w:val="002845AA"/>
    <w:rsid w:val="00284887"/>
    <w:rsid w:val="00284D87"/>
    <w:rsid w:val="0028525A"/>
    <w:rsid w:val="00285E0A"/>
    <w:rsid w:val="00285EB2"/>
    <w:rsid w:val="00286316"/>
    <w:rsid w:val="00286D16"/>
    <w:rsid w:val="0028773E"/>
    <w:rsid w:val="00287CBB"/>
    <w:rsid w:val="00287EEC"/>
    <w:rsid w:val="00290086"/>
    <w:rsid w:val="0029014C"/>
    <w:rsid w:val="00290E70"/>
    <w:rsid w:val="00290F6C"/>
    <w:rsid w:val="002912F0"/>
    <w:rsid w:val="002914DC"/>
    <w:rsid w:val="00291861"/>
    <w:rsid w:val="00291AF2"/>
    <w:rsid w:val="002920AB"/>
    <w:rsid w:val="00292205"/>
    <w:rsid w:val="00292222"/>
    <w:rsid w:val="00292B1B"/>
    <w:rsid w:val="002938B8"/>
    <w:rsid w:val="00294B3E"/>
    <w:rsid w:val="00294B83"/>
    <w:rsid w:val="0029553F"/>
    <w:rsid w:val="00295C67"/>
    <w:rsid w:val="00296075"/>
    <w:rsid w:val="0029610B"/>
    <w:rsid w:val="00296584"/>
    <w:rsid w:val="002A0A7D"/>
    <w:rsid w:val="002A0C1E"/>
    <w:rsid w:val="002A0DDC"/>
    <w:rsid w:val="002A0E1E"/>
    <w:rsid w:val="002A16CF"/>
    <w:rsid w:val="002A1997"/>
    <w:rsid w:val="002A199D"/>
    <w:rsid w:val="002A2030"/>
    <w:rsid w:val="002A2609"/>
    <w:rsid w:val="002A2F5A"/>
    <w:rsid w:val="002A3539"/>
    <w:rsid w:val="002A363E"/>
    <w:rsid w:val="002A3C71"/>
    <w:rsid w:val="002A45F9"/>
    <w:rsid w:val="002A4878"/>
    <w:rsid w:val="002A4D5F"/>
    <w:rsid w:val="002A538D"/>
    <w:rsid w:val="002A68FD"/>
    <w:rsid w:val="002A70C9"/>
    <w:rsid w:val="002A756D"/>
    <w:rsid w:val="002A77D1"/>
    <w:rsid w:val="002B03D2"/>
    <w:rsid w:val="002B09E7"/>
    <w:rsid w:val="002B1577"/>
    <w:rsid w:val="002B1769"/>
    <w:rsid w:val="002B21A1"/>
    <w:rsid w:val="002B2306"/>
    <w:rsid w:val="002B2709"/>
    <w:rsid w:val="002B28E5"/>
    <w:rsid w:val="002B3355"/>
    <w:rsid w:val="002B470A"/>
    <w:rsid w:val="002B47AB"/>
    <w:rsid w:val="002B47D6"/>
    <w:rsid w:val="002B4ABD"/>
    <w:rsid w:val="002B5BDE"/>
    <w:rsid w:val="002B5EA0"/>
    <w:rsid w:val="002B6570"/>
    <w:rsid w:val="002B679B"/>
    <w:rsid w:val="002B6FCA"/>
    <w:rsid w:val="002B7339"/>
    <w:rsid w:val="002C01D4"/>
    <w:rsid w:val="002C0E1F"/>
    <w:rsid w:val="002C0F16"/>
    <w:rsid w:val="002C1B0F"/>
    <w:rsid w:val="002C28F5"/>
    <w:rsid w:val="002C4608"/>
    <w:rsid w:val="002C4D6A"/>
    <w:rsid w:val="002C513D"/>
    <w:rsid w:val="002C56CD"/>
    <w:rsid w:val="002C6368"/>
    <w:rsid w:val="002C655D"/>
    <w:rsid w:val="002C663E"/>
    <w:rsid w:val="002C7A1D"/>
    <w:rsid w:val="002C7DFB"/>
    <w:rsid w:val="002D062F"/>
    <w:rsid w:val="002D0AFB"/>
    <w:rsid w:val="002D0F91"/>
    <w:rsid w:val="002D1ECD"/>
    <w:rsid w:val="002D21E4"/>
    <w:rsid w:val="002D23DE"/>
    <w:rsid w:val="002D2538"/>
    <w:rsid w:val="002D3199"/>
    <w:rsid w:val="002D3328"/>
    <w:rsid w:val="002D335F"/>
    <w:rsid w:val="002D35B7"/>
    <w:rsid w:val="002D3768"/>
    <w:rsid w:val="002D395E"/>
    <w:rsid w:val="002D3A1E"/>
    <w:rsid w:val="002D4742"/>
    <w:rsid w:val="002D47FA"/>
    <w:rsid w:val="002D4A2B"/>
    <w:rsid w:val="002D4B60"/>
    <w:rsid w:val="002D4BFC"/>
    <w:rsid w:val="002D5199"/>
    <w:rsid w:val="002D5C3F"/>
    <w:rsid w:val="002D5EC6"/>
    <w:rsid w:val="002D68B3"/>
    <w:rsid w:val="002D6A39"/>
    <w:rsid w:val="002E0A96"/>
    <w:rsid w:val="002E152E"/>
    <w:rsid w:val="002E1BF2"/>
    <w:rsid w:val="002E295D"/>
    <w:rsid w:val="002E306B"/>
    <w:rsid w:val="002E3373"/>
    <w:rsid w:val="002E33FF"/>
    <w:rsid w:val="002E3C9D"/>
    <w:rsid w:val="002E4430"/>
    <w:rsid w:val="002E4B9A"/>
    <w:rsid w:val="002E5CB9"/>
    <w:rsid w:val="002E61DB"/>
    <w:rsid w:val="002E62C0"/>
    <w:rsid w:val="002E65A6"/>
    <w:rsid w:val="002E6785"/>
    <w:rsid w:val="002E7460"/>
    <w:rsid w:val="002F06A1"/>
    <w:rsid w:val="002F0831"/>
    <w:rsid w:val="002F09D2"/>
    <w:rsid w:val="002F09F7"/>
    <w:rsid w:val="002F0B3E"/>
    <w:rsid w:val="002F1035"/>
    <w:rsid w:val="002F2856"/>
    <w:rsid w:val="002F2EAB"/>
    <w:rsid w:val="002F3108"/>
    <w:rsid w:val="002F3A1A"/>
    <w:rsid w:val="002F51D7"/>
    <w:rsid w:val="002F551F"/>
    <w:rsid w:val="002F5699"/>
    <w:rsid w:val="002F67BF"/>
    <w:rsid w:val="002F6B29"/>
    <w:rsid w:val="002F6D14"/>
    <w:rsid w:val="002F755C"/>
    <w:rsid w:val="002F78A8"/>
    <w:rsid w:val="003000D3"/>
    <w:rsid w:val="003011CD"/>
    <w:rsid w:val="003020C4"/>
    <w:rsid w:val="00302AAF"/>
    <w:rsid w:val="00302F64"/>
    <w:rsid w:val="0030381C"/>
    <w:rsid w:val="00305A99"/>
    <w:rsid w:val="00305AF7"/>
    <w:rsid w:val="0030656A"/>
    <w:rsid w:val="00306996"/>
    <w:rsid w:val="00306EE4"/>
    <w:rsid w:val="00307084"/>
    <w:rsid w:val="003070D5"/>
    <w:rsid w:val="003074A9"/>
    <w:rsid w:val="003074B3"/>
    <w:rsid w:val="00307615"/>
    <w:rsid w:val="00307644"/>
    <w:rsid w:val="0030770D"/>
    <w:rsid w:val="00307728"/>
    <w:rsid w:val="00307B14"/>
    <w:rsid w:val="00307C91"/>
    <w:rsid w:val="003121FF"/>
    <w:rsid w:val="00312CAD"/>
    <w:rsid w:val="00313394"/>
    <w:rsid w:val="00313EB8"/>
    <w:rsid w:val="003144B4"/>
    <w:rsid w:val="00314551"/>
    <w:rsid w:val="00314D23"/>
    <w:rsid w:val="00315112"/>
    <w:rsid w:val="00315480"/>
    <w:rsid w:val="00315DF3"/>
    <w:rsid w:val="00316187"/>
    <w:rsid w:val="0031642B"/>
    <w:rsid w:val="00317DC1"/>
    <w:rsid w:val="00320015"/>
    <w:rsid w:val="0032022E"/>
    <w:rsid w:val="003207D3"/>
    <w:rsid w:val="0032090A"/>
    <w:rsid w:val="00320E6F"/>
    <w:rsid w:val="00321376"/>
    <w:rsid w:val="003230EC"/>
    <w:rsid w:val="003236E7"/>
    <w:rsid w:val="00323898"/>
    <w:rsid w:val="0032509B"/>
    <w:rsid w:val="003256BD"/>
    <w:rsid w:val="003258E1"/>
    <w:rsid w:val="00326618"/>
    <w:rsid w:val="003266C9"/>
    <w:rsid w:val="00326C96"/>
    <w:rsid w:val="00326EAF"/>
    <w:rsid w:val="00326F38"/>
    <w:rsid w:val="00327860"/>
    <w:rsid w:val="00330327"/>
    <w:rsid w:val="00330412"/>
    <w:rsid w:val="00330DC0"/>
    <w:rsid w:val="0033112D"/>
    <w:rsid w:val="00331F4B"/>
    <w:rsid w:val="003324E5"/>
    <w:rsid w:val="003329DC"/>
    <w:rsid w:val="00333020"/>
    <w:rsid w:val="003359AF"/>
    <w:rsid w:val="0033643B"/>
    <w:rsid w:val="00337283"/>
    <w:rsid w:val="0034058E"/>
    <w:rsid w:val="003406DA"/>
    <w:rsid w:val="00340A36"/>
    <w:rsid w:val="00340D8F"/>
    <w:rsid w:val="0034101C"/>
    <w:rsid w:val="003410AF"/>
    <w:rsid w:val="003416E5"/>
    <w:rsid w:val="00341DF0"/>
    <w:rsid w:val="003424D1"/>
    <w:rsid w:val="00342A2E"/>
    <w:rsid w:val="00342CB4"/>
    <w:rsid w:val="00343189"/>
    <w:rsid w:val="00343861"/>
    <w:rsid w:val="003441F0"/>
    <w:rsid w:val="00344EED"/>
    <w:rsid w:val="003453D4"/>
    <w:rsid w:val="0034544B"/>
    <w:rsid w:val="00345640"/>
    <w:rsid w:val="003459ED"/>
    <w:rsid w:val="00345A55"/>
    <w:rsid w:val="0034728A"/>
    <w:rsid w:val="00347A1F"/>
    <w:rsid w:val="00350189"/>
    <w:rsid w:val="003501AE"/>
    <w:rsid w:val="003507A5"/>
    <w:rsid w:val="00350FAC"/>
    <w:rsid w:val="0035246C"/>
    <w:rsid w:val="0035251D"/>
    <w:rsid w:val="00355027"/>
    <w:rsid w:val="00356C20"/>
    <w:rsid w:val="00356E11"/>
    <w:rsid w:val="0035703F"/>
    <w:rsid w:val="00357552"/>
    <w:rsid w:val="003607F1"/>
    <w:rsid w:val="003608F5"/>
    <w:rsid w:val="0036212D"/>
    <w:rsid w:val="003629EF"/>
    <w:rsid w:val="00362A6F"/>
    <w:rsid w:val="00362ECD"/>
    <w:rsid w:val="00363114"/>
    <w:rsid w:val="003646FE"/>
    <w:rsid w:val="00365091"/>
    <w:rsid w:val="003650C7"/>
    <w:rsid w:val="003651E3"/>
    <w:rsid w:val="00365594"/>
    <w:rsid w:val="003658FC"/>
    <w:rsid w:val="00365CE8"/>
    <w:rsid w:val="00366E96"/>
    <w:rsid w:val="00367351"/>
    <w:rsid w:val="00367431"/>
    <w:rsid w:val="00367B94"/>
    <w:rsid w:val="00370194"/>
    <w:rsid w:val="00370A7B"/>
    <w:rsid w:val="00370FB3"/>
    <w:rsid w:val="0037134B"/>
    <w:rsid w:val="00372226"/>
    <w:rsid w:val="0037229B"/>
    <w:rsid w:val="003723F4"/>
    <w:rsid w:val="0037295F"/>
    <w:rsid w:val="003740A9"/>
    <w:rsid w:val="003742A3"/>
    <w:rsid w:val="00375079"/>
    <w:rsid w:val="003756FD"/>
    <w:rsid w:val="0037578B"/>
    <w:rsid w:val="00375874"/>
    <w:rsid w:val="00375F8A"/>
    <w:rsid w:val="003761A2"/>
    <w:rsid w:val="00376EE6"/>
    <w:rsid w:val="0037742D"/>
    <w:rsid w:val="00377703"/>
    <w:rsid w:val="003779BF"/>
    <w:rsid w:val="00377B72"/>
    <w:rsid w:val="00377F55"/>
    <w:rsid w:val="003801B3"/>
    <w:rsid w:val="00380433"/>
    <w:rsid w:val="00380B1A"/>
    <w:rsid w:val="00381394"/>
    <w:rsid w:val="00382240"/>
    <w:rsid w:val="003829FE"/>
    <w:rsid w:val="00383DBB"/>
    <w:rsid w:val="003845D8"/>
    <w:rsid w:val="003856E5"/>
    <w:rsid w:val="003857CC"/>
    <w:rsid w:val="00385817"/>
    <w:rsid w:val="00385A4E"/>
    <w:rsid w:val="00386552"/>
    <w:rsid w:val="00387A22"/>
    <w:rsid w:val="003900B5"/>
    <w:rsid w:val="00390B4D"/>
    <w:rsid w:val="00390C92"/>
    <w:rsid w:val="00391D76"/>
    <w:rsid w:val="003925B2"/>
    <w:rsid w:val="00392B95"/>
    <w:rsid w:val="00392FEF"/>
    <w:rsid w:val="00393795"/>
    <w:rsid w:val="00393CB5"/>
    <w:rsid w:val="00394304"/>
    <w:rsid w:val="00394718"/>
    <w:rsid w:val="003959F7"/>
    <w:rsid w:val="00395B4D"/>
    <w:rsid w:val="0039611A"/>
    <w:rsid w:val="00396894"/>
    <w:rsid w:val="00397360"/>
    <w:rsid w:val="003974EB"/>
    <w:rsid w:val="003979D0"/>
    <w:rsid w:val="00397CE1"/>
    <w:rsid w:val="003A0480"/>
    <w:rsid w:val="003A0E19"/>
    <w:rsid w:val="003A2FD9"/>
    <w:rsid w:val="003A3028"/>
    <w:rsid w:val="003A36F1"/>
    <w:rsid w:val="003A3A76"/>
    <w:rsid w:val="003A3C16"/>
    <w:rsid w:val="003A529D"/>
    <w:rsid w:val="003B1516"/>
    <w:rsid w:val="003B263B"/>
    <w:rsid w:val="003B29EE"/>
    <w:rsid w:val="003B31E3"/>
    <w:rsid w:val="003B3BBB"/>
    <w:rsid w:val="003B44FC"/>
    <w:rsid w:val="003B4812"/>
    <w:rsid w:val="003B5054"/>
    <w:rsid w:val="003B5CA4"/>
    <w:rsid w:val="003B63DA"/>
    <w:rsid w:val="003C0487"/>
    <w:rsid w:val="003C06CC"/>
    <w:rsid w:val="003C116E"/>
    <w:rsid w:val="003C20D7"/>
    <w:rsid w:val="003C2137"/>
    <w:rsid w:val="003C2344"/>
    <w:rsid w:val="003C253C"/>
    <w:rsid w:val="003C2733"/>
    <w:rsid w:val="003C28AC"/>
    <w:rsid w:val="003C2D1B"/>
    <w:rsid w:val="003C3483"/>
    <w:rsid w:val="003C3EE0"/>
    <w:rsid w:val="003C4073"/>
    <w:rsid w:val="003C4208"/>
    <w:rsid w:val="003C4D41"/>
    <w:rsid w:val="003C59B1"/>
    <w:rsid w:val="003C7026"/>
    <w:rsid w:val="003C7F9C"/>
    <w:rsid w:val="003D0A64"/>
    <w:rsid w:val="003D0F7A"/>
    <w:rsid w:val="003D1300"/>
    <w:rsid w:val="003D136C"/>
    <w:rsid w:val="003D1D66"/>
    <w:rsid w:val="003D3FEA"/>
    <w:rsid w:val="003D4E4E"/>
    <w:rsid w:val="003D4E93"/>
    <w:rsid w:val="003D5F13"/>
    <w:rsid w:val="003D6146"/>
    <w:rsid w:val="003D66CB"/>
    <w:rsid w:val="003D6E29"/>
    <w:rsid w:val="003D707C"/>
    <w:rsid w:val="003E04A4"/>
    <w:rsid w:val="003E15CF"/>
    <w:rsid w:val="003E1D5E"/>
    <w:rsid w:val="003E2B06"/>
    <w:rsid w:val="003E2D1B"/>
    <w:rsid w:val="003E35D8"/>
    <w:rsid w:val="003E7308"/>
    <w:rsid w:val="003E747C"/>
    <w:rsid w:val="003E7534"/>
    <w:rsid w:val="003E79E5"/>
    <w:rsid w:val="003E7E64"/>
    <w:rsid w:val="003F00CC"/>
    <w:rsid w:val="003F02FC"/>
    <w:rsid w:val="003F048D"/>
    <w:rsid w:val="003F0E1B"/>
    <w:rsid w:val="003F0FF5"/>
    <w:rsid w:val="003F140C"/>
    <w:rsid w:val="003F1B61"/>
    <w:rsid w:val="003F22D5"/>
    <w:rsid w:val="003F249F"/>
    <w:rsid w:val="003F31E8"/>
    <w:rsid w:val="003F4099"/>
    <w:rsid w:val="003F41A0"/>
    <w:rsid w:val="003F46ED"/>
    <w:rsid w:val="003F60F5"/>
    <w:rsid w:val="003F640E"/>
    <w:rsid w:val="003F64D2"/>
    <w:rsid w:val="003F6CA2"/>
    <w:rsid w:val="003F6D2D"/>
    <w:rsid w:val="003F6E29"/>
    <w:rsid w:val="00401261"/>
    <w:rsid w:val="004012B0"/>
    <w:rsid w:val="00401CA8"/>
    <w:rsid w:val="0040249C"/>
    <w:rsid w:val="00402A2A"/>
    <w:rsid w:val="00402C02"/>
    <w:rsid w:val="004030FE"/>
    <w:rsid w:val="00403BBF"/>
    <w:rsid w:val="00403CBD"/>
    <w:rsid w:val="004049AF"/>
    <w:rsid w:val="0040577B"/>
    <w:rsid w:val="004058E9"/>
    <w:rsid w:val="00405993"/>
    <w:rsid w:val="00405B7C"/>
    <w:rsid w:val="004066DB"/>
    <w:rsid w:val="00406F74"/>
    <w:rsid w:val="00407383"/>
    <w:rsid w:val="00407B08"/>
    <w:rsid w:val="00407BD4"/>
    <w:rsid w:val="00407DB2"/>
    <w:rsid w:val="004106DD"/>
    <w:rsid w:val="004121B4"/>
    <w:rsid w:val="00412297"/>
    <w:rsid w:val="0041324E"/>
    <w:rsid w:val="004135BB"/>
    <w:rsid w:val="004142D0"/>
    <w:rsid w:val="00414E6A"/>
    <w:rsid w:val="00415D99"/>
    <w:rsid w:val="00416B2C"/>
    <w:rsid w:val="004173DD"/>
    <w:rsid w:val="00417559"/>
    <w:rsid w:val="00420D54"/>
    <w:rsid w:val="00420F0F"/>
    <w:rsid w:val="0042174D"/>
    <w:rsid w:val="0042193E"/>
    <w:rsid w:val="004219EF"/>
    <w:rsid w:val="00421D24"/>
    <w:rsid w:val="004220D0"/>
    <w:rsid w:val="00422304"/>
    <w:rsid w:val="0042264B"/>
    <w:rsid w:val="0042300D"/>
    <w:rsid w:val="00423181"/>
    <w:rsid w:val="004234E1"/>
    <w:rsid w:val="0042355F"/>
    <w:rsid w:val="00423983"/>
    <w:rsid w:val="00423D1F"/>
    <w:rsid w:val="004244B1"/>
    <w:rsid w:val="00424603"/>
    <w:rsid w:val="004246FE"/>
    <w:rsid w:val="0042521F"/>
    <w:rsid w:val="00425E81"/>
    <w:rsid w:val="004268AA"/>
    <w:rsid w:val="0042764F"/>
    <w:rsid w:val="00427E6A"/>
    <w:rsid w:val="0043056D"/>
    <w:rsid w:val="004307B4"/>
    <w:rsid w:val="004307BD"/>
    <w:rsid w:val="00430D04"/>
    <w:rsid w:val="00430E74"/>
    <w:rsid w:val="0043220F"/>
    <w:rsid w:val="00432AFF"/>
    <w:rsid w:val="004339FA"/>
    <w:rsid w:val="004341ED"/>
    <w:rsid w:val="00435020"/>
    <w:rsid w:val="00435338"/>
    <w:rsid w:val="00435C40"/>
    <w:rsid w:val="00435CA4"/>
    <w:rsid w:val="00436B31"/>
    <w:rsid w:val="00437B66"/>
    <w:rsid w:val="00440F99"/>
    <w:rsid w:val="004410B0"/>
    <w:rsid w:val="004422E2"/>
    <w:rsid w:val="00442A70"/>
    <w:rsid w:val="00442B44"/>
    <w:rsid w:val="004433F8"/>
    <w:rsid w:val="0044357F"/>
    <w:rsid w:val="0044401D"/>
    <w:rsid w:val="004458B2"/>
    <w:rsid w:val="0044617C"/>
    <w:rsid w:val="00446665"/>
    <w:rsid w:val="004467F0"/>
    <w:rsid w:val="00446B40"/>
    <w:rsid w:val="00446FC8"/>
    <w:rsid w:val="00447058"/>
    <w:rsid w:val="00447422"/>
    <w:rsid w:val="00447A1C"/>
    <w:rsid w:val="004504F0"/>
    <w:rsid w:val="00451528"/>
    <w:rsid w:val="004517CD"/>
    <w:rsid w:val="00451BEF"/>
    <w:rsid w:val="00452272"/>
    <w:rsid w:val="00453232"/>
    <w:rsid w:val="004532FA"/>
    <w:rsid w:val="004533D6"/>
    <w:rsid w:val="00453BBB"/>
    <w:rsid w:val="00453E16"/>
    <w:rsid w:val="004542A8"/>
    <w:rsid w:val="0045477C"/>
    <w:rsid w:val="00454786"/>
    <w:rsid w:val="004547A4"/>
    <w:rsid w:val="0045498B"/>
    <w:rsid w:val="00455AFE"/>
    <w:rsid w:val="00455F06"/>
    <w:rsid w:val="00456021"/>
    <w:rsid w:val="0045668D"/>
    <w:rsid w:val="004566BD"/>
    <w:rsid w:val="00456E2B"/>
    <w:rsid w:val="00457F18"/>
    <w:rsid w:val="004607A3"/>
    <w:rsid w:val="0046086E"/>
    <w:rsid w:val="00460CB9"/>
    <w:rsid w:val="00461322"/>
    <w:rsid w:val="00461C0D"/>
    <w:rsid w:val="004626F0"/>
    <w:rsid w:val="0046306D"/>
    <w:rsid w:val="004630B7"/>
    <w:rsid w:val="0046387E"/>
    <w:rsid w:val="00464EDF"/>
    <w:rsid w:val="004667A0"/>
    <w:rsid w:val="00466CBC"/>
    <w:rsid w:val="00467BC3"/>
    <w:rsid w:val="00470445"/>
    <w:rsid w:val="0047201A"/>
    <w:rsid w:val="00473010"/>
    <w:rsid w:val="00473757"/>
    <w:rsid w:val="004737A8"/>
    <w:rsid w:val="00473848"/>
    <w:rsid w:val="004738F0"/>
    <w:rsid w:val="004750DA"/>
    <w:rsid w:val="0047576F"/>
    <w:rsid w:val="004761A5"/>
    <w:rsid w:val="004766BB"/>
    <w:rsid w:val="00476E29"/>
    <w:rsid w:val="00476F7C"/>
    <w:rsid w:val="0047799A"/>
    <w:rsid w:val="00480129"/>
    <w:rsid w:val="004801F7"/>
    <w:rsid w:val="00480347"/>
    <w:rsid w:val="00481249"/>
    <w:rsid w:val="0048294B"/>
    <w:rsid w:val="00482F54"/>
    <w:rsid w:val="004831F6"/>
    <w:rsid w:val="004836E0"/>
    <w:rsid w:val="00483A40"/>
    <w:rsid w:val="00484276"/>
    <w:rsid w:val="00484B49"/>
    <w:rsid w:val="00485904"/>
    <w:rsid w:val="004878D1"/>
    <w:rsid w:val="00490999"/>
    <w:rsid w:val="00490BBB"/>
    <w:rsid w:val="004912B0"/>
    <w:rsid w:val="0049151F"/>
    <w:rsid w:val="00491B37"/>
    <w:rsid w:val="00491BE8"/>
    <w:rsid w:val="00491E08"/>
    <w:rsid w:val="004920C2"/>
    <w:rsid w:val="004928AC"/>
    <w:rsid w:val="00492908"/>
    <w:rsid w:val="004929A0"/>
    <w:rsid w:val="00492A7E"/>
    <w:rsid w:val="0049405B"/>
    <w:rsid w:val="00494193"/>
    <w:rsid w:val="0049440E"/>
    <w:rsid w:val="004945C6"/>
    <w:rsid w:val="00494621"/>
    <w:rsid w:val="004948DE"/>
    <w:rsid w:val="0049541A"/>
    <w:rsid w:val="00495834"/>
    <w:rsid w:val="004958F1"/>
    <w:rsid w:val="00495905"/>
    <w:rsid w:val="004960D4"/>
    <w:rsid w:val="004975C3"/>
    <w:rsid w:val="00497A4A"/>
    <w:rsid w:val="00497C7B"/>
    <w:rsid w:val="004A1656"/>
    <w:rsid w:val="004A17ED"/>
    <w:rsid w:val="004A18D9"/>
    <w:rsid w:val="004A243F"/>
    <w:rsid w:val="004A281C"/>
    <w:rsid w:val="004A302F"/>
    <w:rsid w:val="004A3266"/>
    <w:rsid w:val="004A402A"/>
    <w:rsid w:val="004A4F56"/>
    <w:rsid w:val="004A5395"/>
    <w:rsid w:val="004A5782"/>
    <w:rsid w:val="004A6D72"/>
    <w:rsid w:val="004A6DA7"/>
    <w:rsid w:val="004A72F7"/>
    <w:rsid w:val="004A7A21"/>
    <w:rsid w:val="004B02A1"/>
    <w:rsid w:val="004B088C"/>
    <w:rsid w:val="004B0D5B"/>
    <w:rsid w:val="004B0E5B"/>
    <w:rsid w:val="004B127D"/>
    <w:rsid w:val="004B171E"/>
    <w:rsid w:val="004B1FAC"/>
    <w:rsid w:val="004B2403"/>
    <w:rsid w:val="004B2527"/>
    <w:rsid w:val="004B279C"/>
    <w:rsid w:val="004B304A"/>
    <w:rsid w:val="004B343D"/>
    <w:rsid w:val="004B44B2"/>
    <w:rsid w:val="004B4F66"/>
    <w:rsid w:val="004B52AB"/>
    <w:rsid w:val="004B5E01"/>
    <w:rsid w:val="004B6122"/>
    <w:rsid w:val="004B650B"/>
    <w:rsid w:val="004B6DEA"/>
    <w:rsid w:val="004B76D2"/>
    <w:rsid w:val="004C0099"/>
    <w:rsid w:val="004C0ED3"/>
    <w:rsid w:val="004C105F"/>
    <w:rsid w:val="004C152D"/>
    <w:rsid w:val="004C1657"/>
    <w:rsid w:val="004C1AE8"/>
    <w:rsid w:val="004C20C6"/>
    <w:rsid w:val="004C2E4A"/>
    <w:rsid w:val="004C2EF7"/>
    <w:rsid w:val="004C3093"/>
    <w:rsid w:val="004C3121"/>
    <w:rsid w:val="004C346D"/>
    <w:rsid w:val="004C3772"/>
    <w:rsid w:val="004C59ED"/>
    <w:rsid w:val="004C6CCB"/>
    <w:rsid w:val="004C79EE"/>
    <w:rsid w:val="004C7A87"/>
    <w:rsid w:val="004D0CC4"/>
    <w:rsid w:val="004D1327"/>
    <w:rsid w:val="004D152F"/>
    <w:rsid w:val="004D1EEA"/>
    <w:rsid w:val="004D2026"/>
    <w:rsid w:val="004D24AD"/>
    <w:rsid w:val="004D29B6"/>
    <w:rsid w:val="004D32CA"/>
    <w:rsid w:val="004D34D7"/>
    <w:rsid w:val="004D3578"/>
    <w:rsid w:val="004D3DDA"/>
    <w:rsid w:val="004D3EFB"/>
    <w:rsid w:val="004D3F11"/>
    <w:rsid w:val="004D4126"/>
    <w:rsid w:val="004D4135"/>
    <w:rsid w:val="004D4757"/>
    <w:rsid w:val="004D4937"/>
    <w:rsid w:val="004D50D6"/>
    <w:rsid w:val="004D69A0"/>
    <w:rsid w:val="004D6D07"/>
    <w:rsid w:val="004D7247"/>
    <w:rsid w:val="004E0172"/>
    <w:rsid w:val="004E0451"/>
    <w:rsid w:val="004E0754"/>
    <w:rsid w:val="004E0764"/>
    <w:rsid w:val="004E0CF8"/>
    <w:rsid w:val="004E1B5A"/>
    <w:rsid w:val="004E2A73"/>
    <w:rsid w:val="004E2D05"/>
    <w:rsid w:val="004E3EF6"/>
    <w:rsid w:val="004E3FA9"/>
    <w:rsid w:val="004E4F6B"/>
    <w:rsid w:val="004E556B"/>
    <w:rsid w:val="004E58F8"/>
    <w:rsid w:val="004E5C2F"/>
    <w:rsid w:val="004E6058"/>
    <w:rsid w:val="004E6639"/>
    <w:rsid w:val="004E6729"/>
    <w:rsid w:val="004E6F31"/>
    <w:rsid w:val="004F0026"/>
    <w:rsid w:val="004F0756"/>
    <w:rsid w:val="004F0993"/>
    <w:rsid w:val="004F18E2"/>
    <w:rsid w:val="004F19BD"/>
    <w:rsid w:val="004F2FEB"/>
    <w:rsid w:val="004F3593"/>
    <w:rsid w:val="004F3D20"/>
    <w:rsid w:val="004F41AE"/>
    <w:rsid w:val="004F5C72"/>
    <w:rsid w:val="004F6D5C"/>
    <w:rsid w:val="004F7E50"/>
    <w:rsid w:val="004F7EEC"/>
    <w:rsid w:val="005000C3"/>
    <w:rsid w:val="00500B33"/>
    <w:rsid w:val="00500EE1"/>
    <w:rsid w:val="0050381D"/>
    <w:rsid w:val="00504233"/>
    <w:rsid w:val="00504402"/>
    <w:rsid w:val="00504F81"/>
    <w:rsid w:val="00505E1A"/>
    <w:rsid w:val="00506A00"/>
    <w:rsid w:val="00506D4D"/>
    <w:rsid w:val="0050776B"/>
    <w:rsid w:val="00507AEF"/>
    <w:rsid w:val="005108FA"/>
    <w:rsid w:val="00511D3F"/>
    <w:rsid w:val="005129E8"/>
    <w:rsid w:val="00512CB3"/>
    <w:rsid w:val="005139CE"/>
    <w:rsid w:val="00513E74"/>
    <w:rsid w:val="005148D8"/>
    <w:rsid w:val="005156FD"/>
    <w:rsid w:val="00515775"/>
    <w:rsid w:val="00516A86"/>
    <w:rsid w:val="00516E84"/>
    <w:rsid w:val="0051712C"/>
    <w:rsid w:val="0051724B"/>
    <w:rsid w:val="0051748A"/>
    <w:rsid w:val="00520DBE"/>
    <w:rsid w:val="0052107D"/>
    <w:rsid w:val="005224FF"/>
    <w:rsid w:val="00522625"/>
    <w:rsid w:val="00522FE7"/>
    <w:rsid w:val="0052475D"/>
    <w:rsid w:val="005248E7"/>
    <w:rsid w:val="00524BCD"/>
    <w:rsid w:val="0052503A"/>
    <w:rsid w:val="00525373"/>
    <w:rsid w:val="00525D9C"/>
    <w:rsid w:val="00525E2F"/>
    <w:rsid w:val="005263B9"/>
    <w:rsid w:val="0052656D"/>
    <w:rsid w:val="00526998"/>
    <w:rsid w:val="00526ABB"/>
    <w:rsid w:val="0052757E"/>
    <w:rsid w:val="00527BC1"/>
    <w:rsid w:val="0053026C"/>
    <w:rsid w:val="00530923"/>
    <w:rsid w:val="00530ACC"/>
    <w:rsid w:val="00531378"/>
    <w:rsid w:val="0053154A"/>
    <w:rsid w:val="00532BA5"/>
    <w:rsid w:val="00532C67"/>
    <w:rsid w:val="00534EF1"/>
    <w:rsid w:val="00535302"/>
    <w:rsid w:val="005359A5"/>
    <w:rsid w:val="00535FF5"/>
    <w:rsid w:val="00536BFE"/>
    <w:rsid w:val="00536FBC"/>
    <w:rsid w:val="0053750D"/>
    <w:rsid w:val="00541B5E"/>
    <w:rsid w:val="00541BCD"/>
    <w:rsid w:val="005421B2"/>
    <w:rsid w:val="005422CA"/>
    <w:rsid w:val="0054302A"/>
    <w:rsid w:val="0054328B"/>
    <w:rsid w:val="00543602"/>
    <w:rsid w:val="00544D42"/>
    <w:rsid w:val="0054513F"/>
    <w:rsid w:val="0054670F"/>
    <w:rsid w:val="00546C37"/>
    <w:rsid w:val="00546E51"/>
    <w:rsid w:val="00547DCB"/>
    <w:rsid w:val="005502F9"/>
    <w:rsid w:val="0055122C"/>
    <w:rsid w:val="0055132D"/>
    <w:rsid w:val="005518B1"/>
    <w:rsid w:val="0055195C"/>
    <w:rsid w:val="00551FC8"/>
    <w:rsid w:val="00552450"/>
    <w:rsid w:val="00552A2A"/>
    <w:rsid w:val="00552F23"/>
    <w:rsid w:val="005533A2"/>
    <w:rsid w:val="0055371B"/>
    <w:rsid w:val="00553990"/>
    <w:rsid w:val="00554480"/>
    <w:rsid w:val="0055511B"/>
    <w:rsid w:val="005566F7"/>
    <w:rsid w:val="0055676A"/>
    <w:rsid w:val="00556EBC"/>
    <w:rsid w:val="005574E9"/>
    <w:rsid w:val="005605F0"/>
    <w:rsid w:val="00561225"/>
    <w:rsid w:val="00561ACF"/>
    <w:rsid w:val="00561B8E"/>
    <w:rsid w:val="005629A6"/>
    <w:rsid w:val="005631BA"/>
    <w:rsid w:val="0056320C"/>
    <w:rsid w:val="005632C4"/>
    <w:rsid w:val="00563388"/>
    <w:rsid w:val="0056360F"/>
    <w:rsid w:val="00563825"/>
    <w:rsid w:val="00563F17"/>
    <w:rsid w:val="005643F2"/>
    <w:rsid w:val="00565115"/>
    <w:rsid w:val="005655DB"/>
    <w:rsid w:val="00565DFF"/>
    <w:rsid w:val="00565FE1"/>
    <w:rsid w:val="005673ED"/>
    <w:rsid w:val="0056781F"/>
    <w:rsid w:val="00567F47"/>
    <w:rsid w:val="00571C3B"/>
    <w:rsid w:val="00571D56"/>
    <w:rsid w:val="00572197"/>
    <w:rsid w:val="0057413C"/>
    <w:rsid w:val="00575063"/>
    <w:rsid w:val="0057522B"/>
    <w:rsid w:val="005754D1"/>
    <w:rsid w:val="00576295"/>
    <w:rsid w:val="00576B75"/>
    <w:rsid w:val="00577060"/>
    <w:rsid w:val="00577759"/>
    <w:rsid w:val="005802D0"/>
    <w:rsid w:val="00580549"/>
    <w:rsid w:val="005811D7"/>
    <w:rsid w:val="00581A9C"/>
    <w:rsid w:val="00581CBB"/>
    <w:rsid w:val="00583649"/>
    <w:rsid w:val="00584B5E"/>
    <w:rsid w:val="00584BDB"/>
    <w:rsid w:val="00584E6B"/>
    <w:rsid w:val="00584FB4"/>
    <w:rsid w:val="00585446"/>
    <w:rsid w:val="00585BE1"/>
    <w:rsid w:val="005868E4"/>
    <w:rsid w:val="005873B3"/>
    <w:rsid w:val="005873FC"/>
    <w:rsid w:val="005878AD"/>
    <w:rsid w:val="0058793E"/>
    <w:rsid w:val="00590C10"/>
    <w:rsid w:val="00590C44"/>
    <w:rsid w:val="00590F12"/>
    <w:rsid w:val="00590FB0"/>
    <w:rsid w:val="005910AC"/>
    <w:rsid w:val="005915AA"/>
    <w:rsid w:val="00592956"/>
    <w:rsid w:val="00592EFB"/>
    <w:rsid w:val="005934F1"/>
    <w:rsid w:val="0059369A"/>
    <w:rsid w:val="00594395"/>
    <w:rsid w:val="00594511"/>
    <w:rsid w:val="005953C4"/>
    <w:rsid w:val="00595445"/>
    <w:rsid w:val="00595AD7"/>
    <w:rsid w:val="005960B9"/>
    <w:rsid w:val="005964D8"/>
    <w:rsid w:val="005964EC"/>
    <w:rsid w:val="00596B18"/>
    <w:rsid w:val="00596FEF"/>
    <w:rsid w:val="0059705F"/>
    <w:rsid w:val="0059760C"/>
    <w:rsid w:val="005977D9"/>
    <w:rsid w:val="005A015F"/>
    <w:rsid w:val="005A0266"/>
    <w:rsid w:val="005A11BD"/>
    <w:rsid w:val="005A1BC4"/>
    <w:rsid w:val="005A21B2"/>
    <w:rsid w:val="005A26A9"/>
    <w:rsid w:val="005A2CC4"/>
    <w:rsid w:val="005A3BF1"/>
    <w:rsid w:val="005A3FFD"/>
    <w:rsid w:val="005A41D1"/>
    <w:rsid w:val="005A4496"/>
    <w:rsid w:val="005A4766"/>
    <w:rsid w:val="005A5D2C"/>
    <w:rsid w:val="005A619F"/>
    <w:rsid w:val="005A6287"/>
    <w:rsid w:val="005A72CF"/>
    <w:rsid w:val="005A7513"/>
    <w:rsid w:val="005A78D2"/>
    <w:rsid w:val="005A7B4F"/>
    <w:rsid w:val="005B00B3"/>
    <w:rsid w:val="005B0193"/>
    <w:rsid w:val="005B05B1"/>
    <w:rsid w:val="005B0948"/>
    <w:rsid w:val="005B152B"/>
    <w:rsid w:val="005B1BF8"/>
    <w:rsid w:val="005B285A"/>
    <w:rsid w:val="005B3836"/>
    <w:rsid w:val="005B38F2"/>
    <w:rsid w:val="005B3A63"/>
    <w:rsid w:val="005B44FD"/>
    <w:rsid w:val="005B49FE"/>
    <w:rsid w:val="005B4BBE"/>
    <w:rsid w:val="005B504A"/>
    <w:rsid w:val="005B581C"/>
    <w:rsid w:val="005B583F"/>
    <w:rsid w:val="005B621D"/>
    <w:rsid w:val="005B62E0"/>
    <w:rsid w:val="005B69D8"/>
    <w:rsid w:val="005B69FF"/>
    <w:rsid w:val="005B6DBF"/>
    <w:rsid w:val="005B7165"/>
    <w:rsid w:val="005B7260"/>
    <w:rsid w:val="005B743D"/>
    <w:rsid w:val="005B77EF"/>
    <w:rsid w:val="005C03CC"/>
    <w:rsid w:val="005C07AE"/>
    <w:rsid w:val="005C0E22"/>
    <w:rsid w:val="005C1AC5"/>
    <w:rsid w:val="005C27D5"/>
    <w:rsid w:val="005C2A66"/>
    <w:rsid w:val="005C4120"/>
    <w:rsid w:val="005C41B5"/>
    <w:rsid w:val="005C45C0"/>
    <w:rsid w:val="005C45F2"/>
    <w:rsid w:val="005C4D2F"/>
    <w:rsid w:val="005C581B"/>
    <w:rsid w:val="005C5AC3"/>
    <w:rsid w:val="005C5E85"/>
    <w:rsid w:val="005C6089"/>
    <w:rsid w:val="005C6250"/>
    <w:rsid w:val="005C6580"/>
    <w:rsid w:val="005C7008"/>
    <w:rsid w:val="005C7399"/>
    <w:rsid w:val="005C76C4"/>
    <w:rsid w:val="005D0ED3"/>
    <w:rsid w:val="005D2D80"/>
    <w:rsid w:val="005D2F3E"/>
    <w:rsid w:val="005D40A9"/>
    <w:rsid w:val="005D42CD"/>
    <w:rsid w:val="005D4F58"/>
    <w:rsid w:val="005D545B"/>
    <w:rsid w:val="005D6006"/>
    <w:rsid w:val="005D701D"/>
    <w:rsid w:val="005D7253"/>
    <w:rsid w:val="005D743D"/>
    <w:rsid w:val="005D769A"/>
    <w:rsid w:val="005D777E"/>
    <w:rsid w:val="005E081F"/>
    <w:rsid w:val="005E0C28"/>
    <w:rsid w:val="005E1AA6"/>
    <w:rsid w:val="005E2865"/>
    <w:rsid w:val="005E2914"/>
    <w:rsid w:val="005E2BAE"/>
    <w:rsid w:val="005E34F8"/>
    <w:rsid w:val="005E38C9"/>
    <w:rsid w:val="005E4326"/>
    <w:rsid w:val="005E49E0"/>
    <w:rsid w:val="005E5D9C"/>
    <w:rsid w:val="005E66A6"/>
    <w:rsid w:val="005E68C4"/>
    <w:rsid w:val="005E7206"/>
    <w:rsid w:val="005E7534"/>
    <w:rsid w:val="005E7B90"/>
    <w:rsid w:val="005F05DF"/>
    <w:rsid w:val="005F17A9"/>
    <w:rsid w:val="005F18D5"/>
    <w:rsid w:val="005F1C97"/>
    <w:rsid w:val="005F22B8"/>
    <w:rsid w:val="005F25B2"/>
    <w:rsid w:val="005F2A1E"/>
    <w:rsid w:val="005F3197"/>
    <w:rsid w:val="005F31C6"/>
    <w:rsid w:val="005F3C3E"/>
    <w:rsid w:val="005F43F7"/>
    <w:rsid w:val="005F4516"/>
    <w:rsid w:val="005F481D"/>
    <w:rsid w:val="005F4D62"/>
    <w:rsid w:val="005F4DF2"/>
    <w:rsid w:val="005F765A"/>
    <w:rsid w:val="005F7692"/>
    <w:rsid w:val="0060234C"/>
    <w:rsid w:val="006028C3"/>
    <w:rsid w:val="00603239"/>
    <w:rsid w:val="0060406D"/>
    <w:rsid w:val="00604676"/>
    <w:rsid w:val="00604947"/>
    <w:rsid w:val="006063F0"/>
    <w:rsid w:val="0060651B"/>
    <w:rsid w:val="00606E41"/>
    <w:rsid w:val="00607808"/>
    <w:rsid w:val="0060784E"/>
    <w:rsid w:val="006101EF"/>
    <w:rsid w:val="00610296"/>
    <w:rsid w:val="006105C3"/>
    <w:rsid w:val="006115FB"/>
    <w:rsid w:val="00611727"/>
    <w:rsid w:val="00611FD5"/>
    <w:rsid w:val="00612997"/>
    <w:rsid w:val="00612E25"/>
    <w:rsid w:val="0061341F"/>
    <w:rsid w:val="00613D1A"/>
    <w:rsid w:val="006144ED"/>
    <w:rsid w:val="0061470E"/>
    <w:rsid w:val="006158E8"/>
    <w:rsid w:val="0061611C"/>
    <w:rsid w:val="00616155"/>
    <w:rsid w:val="0061617D"/>
    <w:rsid w:val="006169A3"/>
    <w:rsid w:val="006172EB"/>
    <w:rsid w:val="00620464"/>
    <w:rsid w:val="00621154"/>
    <w:rsid w:val="00621C45"/>
    <w:rsid w:val="00621C85"/>
    <w:rsid w:val="0062232A"/>
    <w:rsid w:val="0062268D"/>
    <w:rsid w:val="00622B22"/>
    <w:rsid w:val="0062327F"/>
    <w:rsid w:val="00623702"/>
    <w:rsid w:val="006243E9"/>
    <w:rsid w:val="00624689"/>
    <w:rsid w:val="00624696"/>
    <w:rsid w:val="006249A9"/>
    <w:rsid w:val="0062523B"/>
    <w:rsid w:val="00625BA8"/>
    <w:rsid w:val="006263DF"/>
    <w:rsid w:val="00626FEB"/>
    <w:rsid w:val="00627B0C"/>
    <w:rsid w:val="00627E5F"/>
    <w:rsid w:val="00630F2B"/>
    <w:rsid w:val="006310B6"/>
    <w:rsid w:val="006313FD"/>
    <w:rsid w:val="0063150D"/>
    <w:rsid w:val="00631B1E"/>
    <w:rsid w:val="00632641"/>
    <w:rsid w:val="00632EA8"/>
    <w:rsid w:val="0063336D"/>
    <w:rsid w:val="006333CC"/>
    <w:rsid w:val="006339AF"/>
    <w:rsid w:val="006339DB"/>
    <w:rsid w:val="00633BB8"/>
    <w:rsid w:val="00633FAC"/>
    <w:rsid w:val="006344CD"/>
    <w:rsid w:val="00634512"/>
    <w:rsid w:val="006370E7"/>
    <w:rsid w:val="0063724F"/>
    <w:rsid w:val="006373CE"/>
    <w:rsid w:val="006374AA"/>
    <w:rsid w:val="00637506"/>
    <w:rsid w:val="00637629"/>
    <w:rsid w:val="0063772D"/>
    <w:rsid w:val="00637FF0"/>
    <w:rsid w:val="0064053A"/>
    <w:rsid w:val="00640733"/>
    <w:rsid w:val="00640F77"/>
    <w:rsid w:val="006410B4"/>
    <w:rsid w:val="00641CCD"/>
    <w:rsid w:val="00642A6E"/>
    <w:rsid w:val="0064405B"/>
    <w:rsid w:val="00644A49"/>
    <w:rsid w:val="00644DB7"/>
    <w:rsid w:val="00645AC3"/>
    <w:rsid w:val="00645EFD"/>
    <w:rsid w:val="006461FA"/>
    <w:rsid w:val="00646495"/>
    <w:rsid w:val="00646A5A"/>
    <w:rsid w:val="00646E0C"/>
    <w:rsid w:val="00650855"/>
    <w:rsid w:val="00650A79"/>
    <w:rsid w:val="006517C1"/>
    <w:rsid w:val="00651AFB"/>
    <w:rsid w:val="00652DF0"/>
    <w:rsid w:val="00653289"/>
    <w:rsid w:val="006533A8"/>
    <w:rsid w:val="006533E3"/>
    <w:rsid w:val="00653CDC"/>
    <w:rsid w:val="00654191"/>
    <w:rsid w:val="00654530"/>
    <w:rsid w:val="00655D9A"/>
    <w:rsid w:val="006568B1"/>
    <w:rsid w:val="00657427"/>
    <w:rsid w:val="00657E15"/>
    <w:rsid w:val="00660111"/>
    <w:rsid w:val="006619FE"/>
    <w:rsid w:val="00661FEF"/>
    <w:rsid w:val="00662B47"/>
    <w:rsid w:val="00662B5C"/>
    <w:rsid w:val="006639B4"/>
    <w:rsid w:val="006641A4"/>
    <w:rsid w:val="0066501A"/>
    <w:rsid w:val="0066608B"/>
    <w:rsid w:val="00667CAA"/>
    <w:rsid w:val="00671B33"/>
    <w:rsid w:val="0067226D"/>
    <w:rsid w:val="006725C5"/>
    <w:rsid w:val="00672AC8"/>
    <w:rsid w:val="00673178"/>
    <w:rsid w:val="00676211"/>
    <w:rsid w:val="00676989"/>
    <w:rsid w:val="00676B15"/>
    <w:rsid w:val="006775EE"/>
    <w:rsid w:val="00677E04"/>
    <w:rsid w:val="0068155C"/>
    <w:rsid w:val="00682361"/>
    <w:rsid w:val="006826F5"/>
    <w:rsid w:val="00682BEC"/>
    <w:rsid w:val="00682C95"/>
    <w:rsid w:val="00682CA1"/>
    <w:rsid w:val="0068311D"/>
    <w:rsid w:val="00683402"/>
    <w:rsid w:val="006836BA"/>
    <w:rsid w:val="0068393B"/>
    <w:rsid w:val="00683E01"/>
    <w:rsid w:val="00683FE8"/>
    <w:rsid w:val="0068429E"/>
    <w:rsid w:val="006854FC"/>
    <w:rsid w:val="00685563"/>
    <w:rsid w:val="00686CDF"/>
    <w:rsid w:val="006873CD"/>
    <w:rsid w:val="00687DA3"/>
    <w:rsid w:val="00690031"/>
    <w:rsid w:val="0069041B"/>
    <w:rsid w:val="006906FC"/>
    <w:rsid w:val="0069149E"/>
    <w:rsid w:val="00692087"/>
    <w:rsid w:val="00692371"/>
    <w:rsid w:val="00693501"/>
    <w:rsid w:val="00694D47"/>
    <w:rsid w:val="006954BB"/>
    <w:rsid w:val="0069573C"/>
    <w:rsid w:val="00695F3B"/>
    <w:rsid w:val="006967DA"/>
    <w:rsid w:val="00696BA3"/>
    <w:rsid w:val="00696D20"/>
    <w:rsid w:val="00697231"/>
    <w:rsid w:val="006975FC"/>
    <w:rsid w:val="006A01C8"/>
    <w:rsid w:val="006A1DA5"/>
    <w:rsid w:val="006A2031"/>
    <w:rsid w:val="006A27E6"/>
    <w:rsid w:val="006A29D6"/>
    <w:rsid w:val="006A3074"/>
    <w:rsid w:val="006A32F3"/>
    <w:rsid w:val="006A33FB"/>
    <w:rsid w:val="006A3942"/>
    <w:rsid w:val="006A3AD7"/>
    <w:rsid w:val="006A434C"/>
    <w:rsid w:val="006A4351"/>
    <w:rsid w:val="006A54CC"/>
    <w:rsid w:val="006A5D18"/>
    <w:rsid w:val="006A5DA2"/>
    <w:rsid w:val="006A5EC9"/>
    <w:rsid w:val="006A68D7"/>
    <w:rsid w:val="006A6BE3"/>
    <w:rsid w:val="006A70D3"/>
    <w:rsid w:val="006A7B8E"/>
    <w:rsid w:val="006A7FAA"/>
    <w:rsid w:val="006B01E9"/>
    <w:rsid w:val="006B03B6"/>
    <w:rsid w:val="006B1791"/>
    <w:rsid w:val="006B1DDC"/>
    <w:rsid w:val="006B2391"/>
    <w:rsid w:val="006B255D"/>
    <w:rsid w:val="006B2588"/>
    <w:rsid w:val="006B27D1"/>
    <w:rsid w:val="006B2B4D"/>
    <w:rsid w:val="006B2C26"/>
    <w:rsid w:val="006B2CA0"/>
    <w:rsid w:val="006B2F34"/>
    <w:rsid w:val="006B378A"/>
    <w:rsid w:val="006B38DD"/>
    <w:rsid w:val="006B423D"/>
    <w:rsid w:val="006B4534"/>
    <w:rsid w:val="006B5609"/>
    <w:rsid w:val="006B6C54"/>
    <w:rsid w:val="006B6FE6"/>
    <w:rsid w:val="006B7ACB"/>
    <w:rsid w:val="006B7C00"/>
    <w:rsid w:val="006B7C20"/>
    <w:rsid w:val="006B7F33"/>
    <w:rsid w:val="006C007F"/>
    <w:rsid w:val="006C032B"/>
    <w:rsid w:val="006C04B6"/>
    <w:rsid w:val="006C1238"/>
    <w:rsid w:val="006C1868"/>
    <w:rsid w:val="006C2254"/>
    <w:rsid w:val="006C257C"/>
    <w:rsid w:val="006C2B4C"/>
    <w:rsid w:val="006C407A"/>
    <w:rsid w:val="006C4ECE"/>
    <w:rsid w:val="006C4ED2"/>
    <w:rsid w:val="006C53F5"/>
    <w:rsid w:val="006C552F"/>
    <w:rsid w:val="006C585E"/>
    <w:rsid w:val="006C5FB7"/>
    <w:rsid w:val="006C615D"/>
    <w:rsid w:val="006C6A78"/>
    <w:rsid w:val="006C70CD"/>
    <w:rsid w:val="006C77DF"/>
    <w:rsid w:val="006D0851"/>
    <w:rsid w:val="006D0BDF"/>
    <w:rsid w:val="006D0C6D"/>
    <w:rsid w:val="006D0E46"/>
    <w:rsid w:val="006D3E05"/>
    <w:rsid w:val="006D4347"/>
    <w:rsid w:val="006D47D6"/>
    <w:rsid w:val="006D4C86"/>
    <w:rsid w:val="006D5213"/>
    <w:rsid w:val="006D5E1B"/>
    <w:rsid w:val="006D5FD4"/>
    <w:rsid w:val="006D6B22"/>
    <w:rsid w:val="006D70BE"/>
    <w:rsid w:val="006D7364"/>
    <w:rsid w:val="006E0528"/>
    <w:rsid w:val="006E145E"/>
    <w:rsid w:val="006E14E9"/>
    <w:rsid w:val="006E1729"/>
    <w:rsid w:val="006E2046"/>
    <w:rsid w:val="006E22EC"/>
    <w:rsid w:val="006E2573"/>
    <w:rsid w:val="006E3160"/>
    <w:rsid w:val="006E317F"/>
    <w:rsid w:val="006E3438"/>
    <w:rsid w:val="006E37C9"/>
    <w:rsid w:val="006E3DAA"/>
    <w:rsid w:val="006E44AD"/>
    <w:rsid w:val="006E49F3"/>
    <w:rsid w:val="006E57B7"/>
    <w:rsid w:val="006E583D"/>
    <w:rsid w:val="006E5B85"/>
    <w:rsid w:val="006E5FFC"/>
    <w:rsid w:val="006E60A0"/>
    <w:rsid w:val="006E622A"/>
    <w:rsid w:val="006E77F8"/>
    <w:rsid w:val="006E786A"/>
    <w:rsid w:val="006F11AB"/>
    <w:rsid w:val="006F1BA8"/>
    <w:rsid w:val="006F27E9"/>
    <w:rsid w:val="006F2925"/>
    <w:rsid w:val="006F2DDF"/>
    <w:rsid w:val="006F350E"/>
    <w:rsid w:val="006F360D"/>
    <w:rsid w:val="006F3E04"/>
    <w:rsid w:val="006F4A4E"/>
    <w:rsid w:val="006F527C"/>
    <w:rsid w:val="006F56D3"/>
    <w:rsid w:val="006F58AD"/>
    <w:rsid w:val="006F5DFA"/>
    <w:rsid w:val="006F5F69"/>
    <w:rsid w:val="006F64ED"/>
    <w:rsid w:val="006F68FC"/>
    <w:rsid w:val="006F69AC"/>
    <w:rsid w:val="006F72F3"/>
    <w:rsid w:val="006F7971"/>
    <w:rsid w:val="006F79D5"/>
    <w:rsid w:val="0070032D"/>
    <w:rsid w:val="007006C7"/>
    <w:rsid w:val="00700862"/>
    <w:rsid w:val="00700B6C"/>
    <w:rsid w:val="00700D49"/>
    <w:rsid w:val="007010EA"/>
    <w:rsid w:val="00701BDB"/>
    <w:rsid w:val="00702297"/>
    <w:rsid w:val="00702A53"/>
    <w:rsid w:val="00702C45"/>
    <w:rsid w:val="00702E88"/>
    <w:rsid w:val="00704B4A"/>
    <w:rsid w:val="0070568E"/>
    <w:rsid w:val="00705C3F"/>
    <w:rsid w:val="007061F7"/>
    <w:rsid w:val="00710064"/>
    <w:rsid w:val="007102A6"/>
    <w:rsid w:val="007104EE"/>
    <w:rsid w:val="00710FC0"/>
    <w:rsid w:val="007111FC"/>
    <w:rsid w:val="00711469"/>
    <w:rsid w:val="00711F45"/>
    <w:rsid w:val="007121FE"/>
    <w:rsid w:val="0071296D"/>
    <w:rsid w:val="007134AE"/>
    <w:rsid w:val="00714AA4"/>
    <w:rsid w:val="00714BAC"/>
    <w:rsid w:val="007150AE"/>
    <w:rsid w:val="007150B7"/>
    <w:rsid w:val="00715417"/>
    <w:rsid w:val="00715C08"/>
    <w:rsid w:val="00715EEE"/>
    <w:rsid w:val="007160BA"/>
    <w:rsid w:val="00716C8B"/>
    <w:rsid w:val="00717109"/>
    <w:rsid w:val="007171AE"/>
    <w:rsid w:val="0071755D"/>
    <w:rsid w:val="00717956"/>
    <w:rsid w:val="00717F22"/>
    <w:rsid w:val="00720EEC"/>
    <w:rsid w:val="00720FB5"/>
    <w:rsid w:val="00721052"/>
    <w:rsid w:val="007219F0"/>
    <w:rsid w:val="0072221A"/>
    <w:rsid w:val="00723116"/>
    <w:rsid w:val="00724888"/>
    <w:rsid w:val="00724C29"/>
    <w:rsid w:val="00725043"/>
    <w:rsid w:val="007250ED"/>
    <w:rsid w:val="00725676"/>
    <w:rsid w:val="007256E7"/>
    <w:rsid w:val="007261AA"/>
    <w:rsid w:val="00727B9B"/>
    <w:rsid w:val="007303DE"/>
    <w:rsid w:val="00730B23"/>
    <w:rsid w:val="00731F7B"/>
    <w:rsid w:val="00732D6B"/>
    <w:rsid w:val="007337B0"/>
    <w:rsid w:val="00733800"/>
    <w:rsid w:val="00733C12"/>
    <w:rsid w:val="00733F31"/>
    <w:rsid w:val="007342DC"/>
    <w:rsid w:val="00735C2E"/>
    <w:rsid w:val="00735EA6"/>
    <w:rsid w:val="00736379"/>
    <w:rsid w:val="00736651"/>
    <w:rsid w:val="007367C5"/>
    <w:rsid w:val="007369F3"/>
    <w:rsid w:val="00737DA0"/>
    <w:rsid w:val="007401A9"/>
    <w:rsid w:val="007401AC"/>
    <w:rsid w:val="007416B5"/>
    <w:rsid w:val="00741AA9"/>
    <w:rsid w:val="0074217E"/>
    <w:rsid w:val="007422EB"/>
    <w:rsid w:val="0074377F"/>
    <w:rsid w:val="00743B13"/>
    <w:rsid w:val="00744219"/>
    <w:rsid w:val="00745E28"/>
    <w:rsid w:val="00746514"/>
    <w:rsid w:val="007466C3"/>
    <w:rsid w:val="00746859"/>
    <w:rsid w:val="00746CA1"/>
    <w:rsid w:val="00746CF7"/>
    <w:rsid w:val="007471E7"/>
    <w:rsid w:val="00747518"/>
    <w:rsid w:val="00747DE8"/>
    <w:rsid w:val="00747DEA"/>
    <w:rsid w:val="007503D7"/>
    <w:rsid w:val="00750979"/>
    <w:rsid w:val="00751DA5"/>
    <w:rsid w:val="00751E8E"/>
    <w:rsid w:val="00753CF0"/>
    <w:rsid w:val="00755171"/>
    <w:rsid w:val="00755393"/>
    <w:rsid w:val="00755762"/>
    <w:rsid w:val="00756191"/>
    <w:rsid w:val="00756A8E"/>
    <w:rsid w:val="00756D51"/>
    <w:rsid w:val="00757255"/>
    <w:rsid w:val="007575AC"/>
    <w:rsid w:val="00757A92"/>
    <w:rsid w:val="0076025D"/>
    <w:rsid w:val="00760513"/>
    <w:rsid w:val="00760CB6"/>
    <w:rsid w:val="00760EAE"/>
    <w:rsid w:val="0076129B"/>
    <w:rsid w:val="00761DDC"/>
    <w:rsid w:val="00761EC5"/>
    <w:rsid w:val="007622FC"/>
    <w:rsid w:val="00762787"/>
    <w:rsid w:val="00762874"/>
    <w:rsid w:val="00763EBE"/>
    <w:rsid w:val="00764FED"/>
    <w:rsid w:val="0076596B"/>
    <w:rsid w:val="007659F3"/>
    <w:rsid w:val="007667EA"/>
    <w:rsid w:val="00766EDA"/>
    <w:rsid w:val="00767C5F"/>
    <w:rsid w:val="00767E35"/>
    <w:rsid w:val="00770087"/>
    <w:rsid w:val="00770CDB"/>
    <w:rsid w:val="00770CF1"/>
    <w:rsid w:val="00771482"/>
    <w:rsid w:val="00771B32"/>
    <w:rsid w:val="007733A6"/>
    <w:rsid w:val="007740B9"/>
    <w:rsid w:val="007742A4"/>
    <w:rsid w:val="00774E78"/>
    <w:rsid w:val="0077550F"/>
    <w:rsid w:val="00776834"/>
    <w:rsid w:val="00776F89"/>
    <w:rsid w:val="00777A31"/>
    <w:rsid w:val="00777CEA"/>
    <w:rsid w:val="00780531"/>
    <w:rsid w:val="0078066C"/>
    <w:rsid w:val="00780FD4"/>
    <w:rsid w:val="00781DD1"/>
    <w:rsid w:val="0078227E"/>
    <w:rsid w:val="00782B3C"/>
    <w:rsid w:val="00783AE3"/>
    <w:rsid w:val="00784680"/>
    <w:rsid w:val="0078523C"/>
    <w:rsid w:val="00785691"/>
    <w:rsid w:val="00785B0E"/>
    <w:rsid w:val="00785EEC"/>
    <w:rsid w:val="00786029"/>
    <w:rsid w:val="007865E0"/>
    <w:rsid w:val="00790954"/>
    <w:rsid w:val="007910FB"/>
    <w:rsid w:val="00791394"/>
    <w:rsid w:val="007914E2"/>
    <w:rsid w:val="00791966"/>
    <w:rsid w:val="00791BF5"/>
    <w:rsid w:val="0079268A"/>
    <w:rsid w:val="00792E33"/>
    <w:rsid w:val="00792F8A"/>
    <w:rsid w:val="00793E5A"/>
    <w:rsid w:val="00794288"/>
    <w:rsid w:val="007944BD"/>
    <w:rsid w:val="0079559F"/>
    <w:rsid w:val="00795914"/>
    <w:rsid w:val="0079698D"/>
    <w:rsid w:val="007972CE"/>
    <w:rsid w:val="007A03A5"/>
    <w:rsid w:val="007A0523"/>
    <w:rsid w:val="007A0B7A"/>
    <w:rsid w:val="007A0E2B"/>
    <w:rsid w:val="007A1752"/>
    <w:rsid w:val="007A1876"/>
    <w:rsid w:val="007A1AF8"/>
    <w:rsid w:val="007A1C8C"/>
    <w:rsid w:val="007A232B"/>
    <w:rsid w:val="007A330C"/>
    <w:rsid w:val="007A4093"/>
    <w:rsid w:val="007A582B"/>
    <w:rsid w:val="007A5930"/>
    <w:rsid w:val="007A5B14"/>
    <w:rsid w:val="007A640C"/>
    <w:rsid w:val="007A68DA"/>
    <w:rsid w:val="007B09DF"/>
    <w:rsid w:val="007B0E3A"/>
    <w:rsid w:val="007B1371"/>
    <w:rsid w:val="007B17F6"/>
    <w:rsid w:val="007B1908"/>
    <w:rsid w:val="007B1BC9"/>
    <w:rsid w:val="007B1C18"/>
    <w:rsid w:val="007B297D"/>
    <w:rsid w:val="007B29D0"/>
    <w:rsid w:val="007B3892"/>
    <w:rsid w:val="007B3BD1"/>
    <w:rsid w:val="007B5552"/>
    <w:rsid w:val="007B6EE8"/>
    <w:rsid w:val="007B7862"/>
    <w:rsid w:val="007C081A"/>
    <w:rsid w:val="007C0C49"/>
    <w:rsid w:val="007C0FB0"/>
    <w:rsid w:val="007C11C0"/>
    <w:rsid w:val="007C11C9"/>
    <w:rsid w:val="007C1618"/>
    <w:rsid w:val="007C17F9"/>
    <w:rsid w:val="007C18BC"/>
    <w:rsid w:val="007C1D17"/>
    <w:rsid w:val="007C2A02"/>
    <w:rsid w:val="007C2B8C"/>
    <w:rsid w:val="007C2CD9"/>
    <w:rsid w:val="007C346D"/>
    <w:rsid w:val="007C3568"/>
    <w:rsid w:val="007C4A55"/>
    <w:rsid w:val="007C4D78"/>
    <w:rsid w:val="007C52C6"/>
    <w:rsid w:val="007C5654"/>
    <w:rsid w:val="007C63B5"/>
    <w:rsid w:val="007C64B7"/>
    <w:rsid w:val="007C7080"/>
    <w:rsid w:val="007D0071"/>
    <w:rsid w:val="007D0881"/>
    <w:rsid w:val="007D0DDD"/>
    <w:rsid w:val="007D11FB"/>
    <w:rsid w:val="007D30C3"/>
    <w:rsid w:val="007D31E2"/>
    <w:rsid w:val="007D3CE6"/>
    <w:rsid w:val="007D41A3"/>
    <w:rsid w:val="007D4460"/>
    <w:rsid w:val="007D4C95"/>
    <w:rsid w:val="007D4F56"/>
    <w:rsid w:val="007D53F6"/>
    <w:rsid w:val="007D57EC"/>
    <w:rsid w:val="007D5864"/>
    <w:rsid w:val="007D7C73"/>
    <w:rsid w:val="007E0348"/>
    <w:rsid w:val="007E0464"/>
    <w:rsid w:val="007E0B50"/>
    <w:rsid w:val="007E1084"/>
    <w:rsid w:val="007E1F21"/>
    <w:rsid w:val="007E2834"/>
    <w:rsid w:val="007E29D4"/>
    <w:rsid w:val="007E2A54"/>
    <w:rsid w:val="007E3BE9"/>
    <w:rsid w:val="007E447C"/>
    <w:rsid w:val="007E47F9"/>
    <w:rsid w:val="007E4A19"/>
    <w:rsid w:val="007E4D92"/>
    <w:rsid w:val="007E50B2"/>
    <w:rsid w:val="007E522A"/>
    <w:rsid w:val="007E53E0"/>
    <w:rsid w:val="007E5B81"/>
    <w:rsid w:val="007E5CD4"/>
    <w:rsid w:val="007E5EAD"/>
    <w:rsid w:val="007E62F4"/>
    <w:rsid w:val="007E6457"/>
    <w:rsid w:val="007E684C"/>
    <w:rsid w:val="007E6FFC"/>
    <w:rsid w:val="007E7CE1"/>
    <w:rsid w:val="007E7E3C"/>
    <w:rsid w:val="007F000C"/>
    <w:rsid w:val="007F01B9"/>
    <w:rsid w:val="007F0ABF"/>
    <w:rsid w:val="007F0F07"/>
    <w:rsid w:val="007F0F87"/>
    <w:rsid w:val="007F1745"/>
    <w:rsid w:val="007F2764"/>
    <w:rsid w:val="007F3062"/>
    <w:rsid w:val="007F38E1"/>
    <w:rsid w:val="007F397F"/>
    <w:rsid w:val="007F3A6A"/>
    <w:rsid w:val="007F3C49"/>
    <w:rsid w:val="007F4AEA"/>
    <w:rsid w:val="007F612A"/>
    <w:rsid w:val="007F6506"/>
    <w:rsid w:val="007F6786"/>
    <w:rsid w:val="007F6BD9"/>
    <w:rsid w:val="007F766F"/>
    <w:rsid w:val="007F792C"/>
    <w:rsid w:val="007F7A21"/>
    <w:rsid w:val="007F7E7E"/>
    <w:rsid w:val="008009BA"/>
    <w:rsid w:val="00801C7A"/>
    <w:rsid w:val="00801F79"/>
    <w:rsid w:val="0080230D"/>
    <w:rsid w:val="0080230F"/>
    <w:rsid w:val="00803549"/>
    <w:rsid w:val="008036E2"/>
    <w:rsid w:val="00805770"/>
    <w:rsid w:val="00805B1F"/>
    <w:rsid w:val="008066FD"/>
    <w:rsid w:val="0080686C"/>
    <w:rsid w:val="00807B8B"/>
    <w:rsid w:val="00810321"/>
    <w:rsid w:val="00810569"/>
    <w:rsid w:val="008108B6"/>
    <w:rsid w:val="00810BF3"/>
    <w:rsid w:val="00810CF6"/>
    <w:rsid w:val="00811215"/>
    <w:rsid w:val="0081126A"/>
    <w:rsid w:val="008113C1"/>
    <w:rsid w:val="00811EDC"/>
    <w:rsid w:val="00812468"/>
    <w:rsid w:val="00813950"/>
    <w:rsid w:val="00814ECF"/>
    <w:rsid w:val="008158A4"/>
    <w:rsid w:val="00815CD5"/>
    <w:rsid w:val="00815F4E"/>
    <w:rsid w:val="00816A20"/>
    <w:rsid w:val="00816F78"/>
    <w:rsid w:val="00817B41"/>
    <w:rsid w:val="00817C31"/>
    <w:rsid w:val="008202F6"/>
    <w:rsid w:val="008206F5"/>
    <w:rsid w:val="008220EF"/>
    <w:rsid w:val="00822C1E"/>
    <w:rsid w:val="00822EB5"/>
    <w:rsid w:val="00823A5E"/>
    <w:rsid w:val="008243EB"/>
    <w:rsid w:val="00824CEB"/>
    <w:rsid w:val="0082540A"/>
    <w:rsid w:val="008254A9"/>
    <w:rsid w:val="008257A5"/>
    <w:rsid w:val="00825EAA"/>
    <w:rsid w:val="00825FCF"/>
    <w:rsid w:val="00826345"/>
    <w:rsid w:val="00826688"/>
    <w:rsid w:val="008305D8"/>
    <w:rsid w:val="00831231"/>
    <w:rsid w:val="00831B2E"/>
    <w:rsid w:val="00831CB3"/>
    <w:rsid w:val="00831FE0"/>
    <w:rsid w:val="00832112"/>
    <w:rsid w:val="0083282C"/>
    <w:rsid w:val="00832DB4"/>
    <w:rsid w:val="00833038"/>
    <w:rsid w:val="00834300"/>
    <w:rsid w:val="008343B3"/>
    <w:rsid w:val="0083506F"/>
    <w:rsid w:val="00836DA8"/>
    <w:rsid w:val="00840334"/>
    <w:rsid w:val="0084087F"/>
    <w:rsid w:val="00840FC9"/>
    <w:rsid w:val="008410DB"/>
    <w:rsid w:val="008418C8"/>
    <w:rsid w:val="00841B62"/>
    <w:rsid w:val="00843D3A"/>
    <w:rsid w:val="008444F5"/>
    <w:rsid w:val="00845330"/>
    <w:rsid w:val="00845403"/>
    <w:rsid w:val="00845780"/>
    <w:rsid w:val="008457FD"/>
    <w:rsid w:val="00847156"/>
    <w:rsid w:val="00847241"/>
    <w:rsid w:val="00847517"/>
    <w:rsid w:val="008476BE"/>
    <w:rsid w:val="00847B40"/>
    <w:rsid w:val="00847E4A"/>
    <w:rsid w:val="0085038A"/>
    <w:rsid w:val="0085160B"/>
    <w:rsid w:val="00851EB4"/>
    <w:rsid w:val="00852F1C"/>
    <w:rsid w:val="00853369"/>
    <w:rsid w:val="0085368E"/>
    <w:rsid w:val="00853F67"/>
    <w:rsid w:val="008540E0"/>
    <w:rsid w:val="008543AD"/>
    <w:rsid w:val="00854C1B"/>
    <w:rsid w:val="0085554A"/>
    <w:rsid w:val="008558A8"/>
    <w:rsid w:val="00855ADC"/>
    <w:rsid w:val="00855B90"/>
    <w:rsid w:val="008566EF"/>
    <w:rsid w:val="008571C3"/>
    <w:rsid w:val="00857235"/>
    <w:rsid w:val="008577CC"/>
    <w:rsid w:val="008578D3"/>
    <w:rsid w:val="0085795E"/>
    <w:rsid w:val="00860722"/>
    <w:rsid w:val="00860A16"/>
    <w:rsid w:val="00860A9C"/>
    <w:rsid w:val="00860AEA"/>
    <w:rsid w:val="00862509"/>
    <w:rsid w:val="008625DC"/>
    <w:rsid w:val="00862A54"/>
    <w:rsid w:val="008634AA"/>
    <w:rsid w:val="00863A46"/>
    <w:rsid w:val="00863A51"/>
    <w:rsid w:val="00863C5F"/>
    <w:rsid w:val="00864CDD"/>
    <w:rsid w:val="00865BF7"/>
    <w:rsid w:val="00865D63"/>
    <w:rsid w:val="00866355"/>
    <w:rsid w:val="008663E3"/>
    <w:rsid w:val="00866447"/>
    <w:rsid w:val="0086767D"/>
    <w:rsid w:val="00867FB0"/>
    <w:rsid w:val="00870129"/>
    <w:rsid w:val="00871174"/>
    <w:rsid w:val="00871601"/>
    <w:rsid w:val="00871E8D"/>
    <w:rsid w:val="008727DC"/>
    <w:rsid w:val="00872874"/>
    <w:rsid w:val="00873411"/>
    <w:rsid w:val="00873646"/>
    <w:rsid w:val="00874376"/>
    <w:rsid w:val="00874EDE"/>
    <w:rsid w:val="00874F40"/>
    <w:rsid w:val="008754A8"/>
    <w:rsid w:val="0087617E"/>
    <w:rsid w:val="008762FC"/>
    <w:rsid w:val="00876553"/>
    <w:rsid w:val="00876931"/>
    <w:rsid w:val="0087714B"/>
    <w:rsid w:val="00881066"/>
    <w:rsid w:val="0088132B"/>
    <w:rsid w:val="008816C7"/>
    <w:rsid w:val="008819F0"/>
    <w:rsid w:val="00881AA0"/>
    <w:rsid w:val="0088284E"/>
    <w:rsid w:val="00882939"/>
    <w:rsid w:val="00882B8B"/>
    <w:rsid w:val="00882BE7"/>
    <w:rsid w:val="00883565"/>
    <w:rsid w:val="008835A8"/>
    <w:rsid w:val="00883D42"/>
    <w:rsid w:val="00883F34"/>
    <w:rsid w:val="008840B9"/>
    <w:rsid w:val="00884D80"/>
    <w:rsid w:val="008851C6"/>
    <w:rsid w:val="008854F2"/>
    <w:rsid w:val="00885839"/>
    <w:rsid w:val="00886759"/>
    <w:rsid w:val="00887326"/>
    <w:rsid w:val="00887355"/>
    <w:rsid w:val="0088767C"/>
    <w:rsid w:val="0089001B"/>
    <w:rsid w:val="00890ACF"/>
    <w:rsid w:val="00891F5A"/>
    <w:rsid w:val="00892153"/>
    <w:rsid w:val="00892248"/>
    <w:rsid w:val="00893E28"/>
    <w:rsid w:val="00893F94"/>
    <w:rsid w:val="00894C6B"/>
    <w:rsid w:val="00895427"/>
    <w:rsid w:val="008959C3"/>
    <w:rsid w:val="00895AFC"/>
    <w:rsid w:val="00896061"/>
    <w:rsid w:val="00896711"/>
    <w:rsid w:val="00896BCB"/>
    <w:rsid w:val="008A0201"/>
    <w:rsid w:val="008A0478"/>
    <w:rsid w:val="008A09EE"/>
    <w:rsid w:val="008A0C89"/>
    <w:rsid w:val="008A1976"/>
    <w:rsid w:val="008A2029"/>
    <w:rsid w:val="008A2853"/>
    <w:rsid w:val="008A3438"/>
    <w:rsid w:val="008A3E58"/>
    <w:rsid w:val="008A441A"/>
    <w:rsid w:val="008A48AD"/>
    <w:rsid w:val="008A4AC3"/>
    <w:rsid w:val="008A591C"/>
    <w:rsid w:val="008A5F3F"/>
    <w:rsid w:val="008A6032"/>
    <w:rsid w:val="008A65F4"/>
    <w:rsid w:val="008A6703"/>
    <w:rsid w:val="008A6721"/>
    <w:rsid w:val="008A6F4D"/>
    <w:rsid w:val="008B1495"/>
    <w:rsid w:val="008B189E"/>
    <w:rsid w:val="008B1AEA"/>
    <w:rsid w:val="008B1EB8"/>
    <w:rsid w:val="008B2A6B"/>
    <w:rsid w:val="008B2D31"/>
    <w:rsid w:val="008B3108"/>
    <w:rsid w:val="008B4262"/>
    <w:rsid w:val="008B4326"/>
    <w:rsid w:val="008B46FC"/>
    <w:rsid w:val="008B4F7A"/>
    <w:rsid w:val="008B5E6E"/>
    <w:rsid w:val="008B5EB6"/>
    <w:rsid w:val="008B6469"/>
    <w:rsid w:val="008B68C0"/>
    <w:rsid w:val="008B6A67"/>
    <w:rsid w:val="008B6AFC"/>
    <w:rsid w:val="008B6E2D"/>
    <w:rsid w:val="008B6F50"/>
    <w:rsid w:val="008B7221"/>
    <w:rsid w:val="008B7DE0"/>
    <w:rsid w:val="008C035C"/>
    <w:rsid w:val="008C0873"/>
    <w:rsid w:val="008C2AF2"/>
    <w:rsid w:val="008C2BA9"/>
    <w:rsid w:val="008C31C3"/>
    <w:rsid w:val="008C373A"/>
    <w:rsid w:val="008C3AEB"/>
    <w:rsid w:val="008C4499"/>
    <w:rsid w:val="008C45D1"/>
    <w:rsid w:val="008C477A"/>
    <w:rsid w:val="008C47A7"/>
    <w:rsid w:val="008C48DC"/>
    <w:rsid w:val="008C67A6"/>
    <w:rsid w:val="008C794E"/>
    <w:rsid w:val="008D04BD"/>
    <w:rsid w:val="008D0AB6"/>
    <w:rsid w:val="008D10D2"/>
    <w:rsid w:val="008D16A7"/>
    <w:rsid w:val="008D1A97"/>
    <w:rsid w:val="008D1DBE"/>
    <w:rsid w:val="008D23AB"/>
    <w:rsid w:val="008D2995"/>
    <w:rsid w:val="008D3499"/>
    <w:rsid w:val="008D3D04"/>
    <w:rsid w:val="008D47DA"/>
    <w:rsid w:val="008D5161"/>
    <w:rsid w:val="008D539B"/>
    <w:rsid w:val="008D5707"/>
    <w:rsid w:val="008D5788"/>
    <w:rsid w:val="008D70D5"/>
    <w:rsid w:val="008E04F8"/>
    <w:rsid w:val="008E2909"/>
    <w:rsid w:val="008E5092"/>
    <w:rsid w:val="008E5156"/>
    <w:rsid w:val="008E5774"/>
    <w:rsid w:val="008E5DC0"/>
    <w:rsid w:val="008E6C7E"/>
    <w:rsid w:val="008E6DED"/>
    <w:rsid w:val="008E7E11"/>
    <w:rsid w:val="008F049B"/>
    <w:rsid w:val="008F0EF4"/>
    <w:rsid w:val="008F1742"/>
    <w:rsid w:val="008F1D8E"/>
    <w:rsid w:val="008F1F4D"/>
    <w:rsid w:val="008F422C"/>
    <w:rsid w:val="008F4A43"/>
    <w:rsid w:val="008F4A6D"/>
    <w:rsid w:val="008F5625"/>
    <w:rsid w:val="008F563F"/>
    <w:rsid w:val="008F5ABF"/>
    <w:rsid w:val="008F6570"/>
    <w:rsid w:val="008F6D45"/>
    <w:rsid w:val="008F7109"/>
    <w:rsid w:val="008F7465"/>
    <w:rsid w:val="008F7F5C"/>
    <w:rsid w:val="009000BE"/>
    <w:rsid w:val="00900935"/>
    <w:rsid w:val="00900D12"/>
    <w:rsid w:val="00900D1E"/>
    <w:rsid w:val="00901071"/>
    <w:rsid w:val="009012D0"/>
    <w:rsid w:val="0090199F"/>
    <w:rsid w:val="00901DAB"/>
    <w:rsid w:val="009020B9"/>
    <w:rsid w:val="00902DCF"/>
    <w:rsid w:val="00903525"/>
    <w:rsid w:val="0090382A"/>
    <w:rsid w:val="00903A00"/>
    <w:rsid w:val="00903ECE"/>
    <w:rsid w:val="00905D77"/>
    <w:rsid w:val="00905FA3"/>
    <w:rsid w:val="00906235"/>
    <w:rsid w:val="00906C0A"/>
    <w:rsid w:val="009075F4"/>
    <w:rsid w:val="009078CD"/>
    <w:rsid w:val="00907EC0"/>
    <w:rsid w:val="009116E4"/>
    <w:rsid w:val="009149B0"/>
    <w:rsid w:val="00914F44"/>
    <w:rsid w:val="00915331"/>
    <w:rsid w:val="00915AFD"/>
    <w:rsid w:val="00915B4B"/>
    <w:rsid w:val="00915DDA"/>
    <w:rsid w:val="00915DE3"/>
    <w:rsid w:val="00915E75"/>
    <w:rsid w:val="00916367"/>
    <w:rsid w:val="009168F1"/>
    <w:rsid w:val="00917441"/>
    <w:rsid w:val="00917AAB"/>
    <w:rsid w:val="00917D4E"/>
    <w:rsid w:val="00917E1D"/>
    <w:rsid w:val="00920450"/>
    <w:rsid w:val="00920487"/>
    <w:rsid w:val="009206DB"/>
    <w:rsid w:val="00920AD9"/>
    <w:rsid w:val="00920AEB"/>
    <w:rsid w:val="00920D51"/>
    <w:rsid w:val="0092139E"/>
    <w:rsid w:val="00921748"/>
    <w:rsid w:val="00921AD6"/>
    <w:rsid w:val="00921F72"/>
    <w:rsid w:val="00922189"/>
    <w:rsid w:val="009233FE"/>
    <w:rsid w:val="0092431E"/>
    <w:rsid w:val="00925142"/>
    <w:rsid w:val="0092607E"/>
    <w:rsid w:val="00926463"/>
    <w:rsid w:val="009266E3"/>
    <w:rsid w:val="00926C49"/>
    <w:rsid w:val="00926D9B"/>
    <w:rsid w:val="009270CC"/>
    <w:rsid w:val="009273C5"/>
    <w:rsid w:val="00927540"/>
    <w:rsid w:val="00927F15"/>
    <w:rsid w:val="00927FBD"/>
    <w:rsid w:val="0093023F"/>
    <w:rsid w:val="0093043A"/>
    <w:rsid w:val="009319D4"/>
    <w:rsid w:val="009321CA"/>
    <w:rsid w:val="00932DE5"/>
    <w:rsid w:val="00933E03"/>
    <w:rsid w:val="00934091"/>
    <w:rsid w:val="00934E45"/>
    <w:rsid w:val="00934F41"/>
    <w:rsid w:val="00935490"/>
    <w:rsid w:val="00935815"/>
    <w:rsid w:val="00936FDF"/>
    <w:rsid w:val="0093767A"/>
    <w:rsid w:val="00940D76"/>
    <w:rsid w:val="009432E9"/>
    <w:rsid w:val="0094377A"/>
    <w:rsid w:val="00943A8F"/>
    <w:rsid w:val="00943F54"/>
    <w:rsid w:val="0094425B"/>
    <w:rsid w:val="00944651"/>
    <w:rsid w:val="00944725"/>
    <w:rsid w:val="00944A9B"/>
    <w:rsid w:val="00944D48"/>
    <w:rsid w:val="00944E88"/>
    <w:rsid w:val="0094518C"/>
    <w:rsid w:val="00945220"/>
    <w:rsid w:val="0094539B"/>
    <w:rsid w:val="0094771E"/>
    <w:rsid w:val="00947758"/>
    <w:rsid w:val="00950781"/>
    <w:rsid w:val="00951F90"/>
    <w:rsid w:val="00952FCE"/>
    <w:rsid w:val="009546AC"/>
    <w:rsid w:val="00956449"/>
    <w:rsid w:val="00956560"/>
    <w:rsid w:val="00956748"/>
    <w:rsid w:val="0095784F"/>
    <w:rsid w:val="00960B26"/>
    <w:rsid w:val="00960E05"/>
    <w:rsid w:val="00962499"/>
    <w:rsid w:val="009624E7"/>
    <w:rsid w:val="00962709"/>
    <w:rsid w:val="00962A10"/>
    <w:rsid w:val="00963077"/>
    <w:rsid w:val="00964958"/>
    <w:rsid w:val="00964DEE"/>
    <w:rsid w:val="00964ECA"/>
    <w:rsid w:val="00964EF1"/>
    <w:rsid w:val="0096524D"/>
    <w:rsid w:val="00965CAC"/>
    <w:rsid w:val="00966070"/>
    <w:rsid w:val="00966DD1"/>
    <w:rsid w:val="0096778A"/>
    <w:rsid w:val="00970285"/>
    <w:rsid w:val="009714FB"/>
    <w:rsid w:val="00971853"/>
    <w:rsid w:val="009719A2"/>
    <w:rsid w:val="00971D26"/>
    <w:rsid w:val="00973510"/>
    <w:rsid w:val="009741CF"/>
    <w:rsid w:val="00974565"/>
    <w:rsid w:val="009754EF"/>
    <w:rsid w:val="009755E9"/>
    <w:rsid w:val="00975768"/>
    <w:rsid w:val="00976568"/>
    <w:rsid w:val="00976664"/>
    <w:rsid w:val="009766CD"/>
    <w:rsid w:val="00976CB8"/>
    <w:rsid w:val="00976DF0"/>
    <w:rsid w:val="00976F9C"/>
    <w:rsid w:val="009777AE"/>
    <w:rsid w:val="00977B5E"/>
    <w:rsid w:val="00977C35"/>
    <w:rsid w:val="00977DB3"/>
    <w:rsid w:val="00981737"/>
    <w:rsid w:val="00981DFC"/>
    <w:rsid w:val="00982026"/>
    <w:rsid w:val="0098225F"/>
    <w:rsid w:val="00982844"/>
    <w:rsid w:val="0098284B"/>
    <w:rsid w:val="00982F6B"/>
    <w:rsid w:val="00983852"/>
    <w:rsid w:val="00983914"/>
    <w:rsid w:val="00983D68"/>
    <w:rsid w:val="00984180"/>
    <w:rsid w:val="009841FA"/>
    <w:rsid w:val="00985E5B"/>
    <w:rsid w:val="00986C67"/>
    <w:rsid w:val="009870DB"/>
    <w:rsid w:val="009871CA"/>
    <w:rsid w:val="009876BD"/>
    <w:rsid w:val="009903AA"/>
    <w:rsid w:val="00990C78"/>
    <w:rsid w:val="0099305B"/>
    <w:rsid w:val="009940CB"/>
    <w:rsid w:val="009954C1"/>
    <w:rsid w:val="0099576C"/>
    <w:rsid w:val="0099680A"/>
    <w:rsid w:val="00996E1F"/>
    <w:rsid w:val="009A1345"/>
    <w:rsid w:val="009A1A0E"/>
    <w:rsid w:val="009A1C0B"/>
    <w:rsid w:val="009A2D46"/>
    <w:rsid w:val="009A4C45"/>
    <w:rsid w:val="009A501E"/>
    <w:rsid w:val="009A5219"/>
    <w:rsid w:val="009A5256"/>
    <w:rsid w:val="009A592B"/>
    <w:rsid w:val="009A6512"/>
    <w:rsid w:val="009A6C23"/>
    <w:rsid w:val="009A7B87"/>
    <w:rsid w:val="009A7CD0"/>
    <w:rsid w:val="009A7E0C"/>
    <w:rsid w:val="009B0101"/>
    <w:rsid w:val="009B05DD"/>
    <w:rsid w:val="009B06C9"/>
    <w:rsid w:val="009B08D7"/>
    <w:rsid w:val="009B1240"/>
    <w:rsid w:val="009B15CE"/>
    <w:rsid w:val="009B16EC"/>
    <w:rsid w:val="009B2053"/>
    <w:rsid w:val="009B2367"/>
    <w:rsid w:val="009B3470"/>
    <w:rsid w:val="009B3A19"/>
    <w:rsid w:val="009B3BB5"/>
    <w:rsid w:val="009B3E88"/>
    <w:rsid w:val="009B4457"/>
    <w:rsid w:val="009B48F6"/>
    <w:rsid w:val="009B5717"/>
    <w:rsid w:val="009B5747"/>
    <w:rsid w:val="009B5B03"/>
    <w:rsid w:val="009B6328"/>
    <w:rsid w:val="009B640F"/>
    <w:rsid w:val="009B65C6"/>
    <w:rsid w:val="009B6810"/>
    <w:rsid w:val="009B68C6"/>
    <w:rsid w:val="009B6EB4"/>
    <w:rsid w:val="009B7E25"/>
    <w:rsid w:val="009C043D"/>
    <w:rsid w:val="009C0B80"/>
    <w:rsid w:val="009C0CDA"/>
    <w:rsid w:val="009C11A8"/>
    <w:rsid w:val="009C2105"/>
    <w:rsid w:val="009C2136"/>
    <w:rsid w:val="009C227B"/>
    <w:rsid w:val="009C2964"/>
    <w:rsid w:val="009C3F66"/>
    <w:rsid w:val="009C40B9"/>
    <w:rsid w:val="009C40F8"/>
    <w:rsid w:val="009C4A84"/>
    <w:rsid w:val="009C523E"/>
    <w:rsid w:val="009C54D1"/>
    <w:rsid w:val="009C54E2"/>
    <w:rsid w:val="009C6933"/>
    <w:rsid w:val="009C75E8"/>
    <w:rsid w:val="009C7736"/>
    <w:rsid w:val="009C78F2"/>
    <w:rsid w:val="009D046B"/>
    <w:rsid w:val="009D0B97"/>
    <w:rsid w:val="009D0EAF"/>
    <w:rsid w:val="009D168A"/>
    <w:rsid w:val="009D18B0"/>
    <w:rsid w:val="009D1BF7"/>
    <w:rsid w:val="009D1CF3"/>
    <w:rsid w:val="009D21CD"/>
    <w:rsid w:val="009D2C37"/>
    <w:rsid w:val="009D2DA2"/>
    <w:rsid w:val="009D4B4D"/>
    <w:rsid w:val="009D571D"/>
    <w:rsid w:val="009D5B8E"/>
    <w:rsid w:val="009D63EF"/>
    <w:rsid w:val="009D645B"/>
    <w:rsid w:val="009D7262"/>
    <w:rsid w:val="009D7D72"/>
    <w:rsid w:val="009D7DA1"/>
    <w:rsid w:val="009E04E0"/>
    <w:rsid w:val="009E10DB"/>
    <w:rsid w:val="009E1118"/>
    <w:rsid w:val="009E11C1"/>
    <w:rsid w:val="009E19D0"/>
    <w:rsid w:val="009E22D3"/>
    <w:rsid w:val="009E38C1"/>
    <w:rsid w:val="009E3BF5"/>
    <w:rsid w:val="009E487F"/>
    <w:rsid w:val="009E511A"/>
    <w:rsid w:val="009E5943"/>
    <w:rsid w:val="009E5961"/>
    <w:rsid w:val="009E5D8C"/>
    <w:rsid w:val="009E62C7"/>
    <w:rsid w:val="009E6445"/>
    <w:rsid w:val="009E717E"/>
    <w:rsid w:val="009E79EF"/>
    <w:rsid w:val="009E7E1F"/>
    <w:rsid w:val="009F048A"/>
    <w:rsid w:val="009F126C"/>
    <w:rsid w:val="009F2C32"/>
    <w:rsid w:val="009F359A"/>
    <w:rsid w:val="009F4D39"/>
    <w:rsid w:val="009F5117"/>
    <w:rsid w:val="009F5BC5"/>
    <w:rsid w:val="009F5D01"/>
    <w:rsid w:val="009F6911"/>
    <w:rsid w:val="009F7698"/>
    <w:rsid w:val="00A02C38"/>
    <w:rsid w:val="00A03359"/>
    <w:rsid w:val="00A03579"/>
    <w:rsid w:val="00A03E2A"/>
    <w:rsid w:val="00A04197"/>
    <w:rsid w:val="00A0485F"/>
    <w:rsid w:val="00A04882"/>
    <w:rsid w:val="00A04908"/>
    <w:rsid w:val="00A04FFE"/>
    <w:rsid w:val="00A07868"/>
    <w:rsid w:val="00A07AAE"/>
    <w:rsid w:val="00A07CE4"/>
    <w:rsid w:val="00A102C0"/>
    <w:rsid w:val="00A105B2"/>
    <w:rsid w:val="00A1074C"/>
    <w:rsid w:val="00A10B80"/>
    <w:rsid w:val="00A10F0A"/>
    <w:rsid w:val="00A1199B"/>
    <w:rsid w:val="00A11C55"/>
    <w:rsid w:val="00A12781"/>
    <w:rsid w:val="00A127C7"/>
    <w:rsid w:val="00A12E90"/>
    <w:rsid w:val="00A1331A"/>
    <w:rsid w:val="00A13D0D"/>
    <w:rsid w:val="00A14E9B"/>
    <w:rsid w:val="00A14F82"/>
    <w:rsid w:val="00A15B04"/>
    <w:rsid w:val="00A15D90"/>
    <w:rsid w:val="00A16EC2"/>
    <w:rsid w:val="00A207D9"/>
    <w:rsid w:val="00A20E46"/>
    <w:rsid w:val="00A21757"/>
    <w:rsid w:val="00A21B19"/>
    <w:rsid w:val="00A22C4D"/>
    <w:rsid w:val="00A23801"/>
    <w:rsid w:val="00A2392E"/>
    <w:rsid w:val="00A23AB8"/>
    <w:rsid w:val="00A24EFD"/>
    <w:rsid w:val="00A259AF"/>
    <w:rsid w:val="00A259F4"/>
    <w:rsid w:val="00A26858"/>
    <w:rsid w:val="00A26DCC"/>
    <w:rsid w:val="00A300B9"/>
    <w:rsid w:val="00A30201"/>
    <w:rsid w:val="00A30257"/>
    <w:rsid w:val="00A30361"/>
    <w:rsid w:val="00A3235F"/>
    <w:rsid w:val="00A32454"/>
    <w:rsid w:val="00A32D94"/>
    <w:rsid w:val="00A32DAA"/>
    <w:rsid w:val="00A33145"/>
    <w:rsid w:val="00A336FE"/>
    <w:rsid w:val="00A33939"/>
    <w:rsid w:val="00A343C5"/>
    <w:rsid w:val="00A34918"/>
    <w:rsid w:val="00A35987"/>
    <w:rsid w:val="00A35D6D"/>
    <w:rsid w:val="00A36037"/>
    <w:rsid w:val="00A3646F"/>
    <w:rsid w:val="00A36DF7"/>
    <w:rsid w:val="00A36ECC"/>
    <w:rsid w:val="00A37B21"/>
    <w:rsid w:val="00A40D5C"/>
    <w:rsid w:val="00A412CC"/>
    <w:rsid w:val="00A421BB"/>
    <w:rsid w:val="00A421C2"/>
    <w:rsid w:val="00A42533"/>
    <w:rsid w:val="00A42964"/>
    <w:rsid w:val="00A43681"/>
    <w:rsid w:val="00A43A51"/>
    <w:rsid w:val="00A44D2A"/>
    <w:rsid w:val="00A44E3F"/>
    <w:rsid w:val="00A4585B"/>
    <w:rsid w:val="00A45D50"/>
    <w:rsid w:val="00A4611A"/>
    <w:rsid w:val="00A46376"/>
    <w:rsid w:val="00A46A9F"/>
    <w:rsid w:val="00A471B1"/>
    <w:rsid w:val="00A4726D"/>
    <w:rsid w:val="00A47808"/>
    <w:rsid w:val="00A47E40"/>
    <w:rsid w:val="00A500E9"/>
    <w:rsid w:val="00A503B2"/>
    <w:rsid w:val="00A507A9"/>
    <w:rsid w:val="00A509AB"/>
    <w:rsid w:val="00A51554"/>
    <w:rsid w:val="00A51CEA"/>
    <w:rsid w:val="00A52E84"/>
    <w:rsid w:val="00A53B8C"/>
    <w:rsid w:val="00A543A7"/>
    <w:rsid w:val="00A55168"/>
    <w:rsid w:val="00A55632"/>
    <w:rsid w:val="00A55ECA"/>
    <w:rsid w:val="00A56141"/>
    <w:rsid w:val="00A56541"/>
    <w:rsid w:val="00A565B1"/>
    <w:rsid w:val="00A56700"/>
    <w:rsid w:val="00A57B4B"/>
    <w:rsid w:val="00A57C2D"/>
    <w:rsid w:val="00A57F51"/>
    <w:rsid w:val="00A60A38"/>
    <w:rsid w:val="00A60C6A"/>
    <w:rsid w:val="00A61733"/>
    <w:rsid w:val="00A61907"/>
    <w:rsid w:val="00A61EBE"/>
    <w:rsid w:val="00A6281B"/>
    <w:rsid w:val="00A62E50"/>
    <w:rsid w:val="00A633E8"/>
    <w:rsid w:val="00A63568"/>
    <w:rsid w:val="00A638A7"/>
    <w:rsid w:val="00A63B18"/>
    <w:rsid w:val="00A6417F"/>
    <w:rsid w:val="00A65662"/>
    <w:rsid w:val="00A6594E"/>
    <w:rsid w:val="00A65C14"/>
    <w:rsid w:val="00A66816"/>
    <w:rsid w:val="00A66FA3"/>
    <w:rsid w:val="00A676F9"/>
    <w:rsid w:val="00A677D8"/>
    <w:rsid w:val="00A7103F"/>
    <w:rsid w:val="00A712DB"/>
    <w:rsid w:val="00A71439"/>
    <w:rsid w:val="00A730C8"/>
    <w:rsid w:val="00A730E1"/>
    <w:rsid w:val="00A73492"/>
    <w:rsid w:val="00A73EA2"/>
    <w:rsid w:val="00A74172"/>
    <w:rsid w:val="00A744D9"/>
    <w:rsid w:val="00A74940"/>
    <w:rsid w:val="00A75CDD"/>
    <w:rsid w:val="00A76186"/>
    <w:rsid w:val="00A76409"/>
    <w:rsid w:val="00A76E9B"/>
    <w:rsid w:val="00A77651"/>
    <w:rsid w:val="00A777B9"/>
    <w:rsid w:val="00A77B45"/>
    <w:rsid w:val="00A8035A"/>
    <w:rsid w:val="00A80AF7"/>
    <w:rsid w:val="00A80BA4"/>
    <w:rsid w:val="00A80EE2"/>
    <w:rsid w:val="00A80F0E"/>
    <w:rsid w:val="00A80FFC"/>
    <w:rsid w:val="00A82456"/>
    <w:rsid w:val="00A8245C"/>
    <w:rsid w:val="00A825D1"/>
    <w:rsid w:val="00A8299E"/>
    <w:rsid w:val="00A82AB2"/>
    <w:rsid w:val="00A831C3"/>
    <w:rsid w:val="00A841F2"/>
    <w:rsid w:val="00A85CBD"/>
    <w:rsid w:val="00A85E62"/>
    <w:rsid w:val="00A85E99"/>
    <w:rsid w:val="00A8610E"/>
    <w:rsid w:val="00A865B7"/>
    <w:rsid w:val="00A8670B"/>
    <w:rsid w:val="00A873D3"/>
    <w:rsid w:val="00A87692"/>
    <w:rsid w:val="00A87A00"/>
    <w:rsid w:val="00A905BC"/>
    <w:rsid w:val="00A9062B"/>
    <w:rsid w:val="00A90E0C"/>
    <w:rsid w:val="00A917C2"/>
    <w:rsid w:val="00A923C5"/>
    <w:rsid w:val="00A93425"/>
    <w:rsid w:val="00A944B9"/>
    <w:rsid w:val="00A94E4A"/>
    <w:rsid w:val="00A95209"/>
    <w:rsid w:val="00A9564C"/>
    <w:rsid w:val="00A96619"/>
    <w:rsid w:val="00A966D1"/>
    <w:rsid w:val="00A96FCA"/>
    <w:rsid w:val="00A972D6"/>
    <w:rsid w:val="00A9741B"/>
    <w:rsid w:val="00A9783D"/>
    <w:rsid w:val="00AA0DFB"/>
    <w:rsid w:val="00AA1AB2"/>
    <w:rsid w:val="00AA1D12"/>
    <w:rsid w:val="00AA2266"/>
    <w:rsid w:val="00AA2888"/>
    <w:rsid w:val="00AA2CD6"/>
    <w:rsid w:val="00AA3A62"/>
    <w:rsid w:val="00AA3BC2"/>
    <w:rsid w:val="00AA5245"/>
    <w:rsid w:val="00AA56C8"/>
    <w:rsid w:val="00AA59C4"/>
    <w:rsid w:val="00AA6124"/>
    <w:rsid w:val="00AA7895"/>
    <w:rsid w:val="00AB0073"/>
    <w:rsid w:val="00AB0495"/>
    <w:rsid w:val="00AB091F"/>
    <w:rsid w:val="00AB0F12"/>
    <w:rsid w:val="00AB162E"/>
    <w:rsid w:val="00AB16C3"/>
    <w:rsid w:val="00AB22AD"/>
    <w:rsid w:val="00AB2508"/>
    <w:rsid w:val="00AB2857"/>
    <w:rsid w:val="00AB2D39"/>
    <w:rsid w:val="00AB2F70"/>
    <w:rsid w:val="00AB3F95"/>
    <w:rsid w:val="00AB41B5"/>
    <w:rsid w:val="00AB4932"/>
    <w:rsid w:val="00AB4EC5"/>
    <w:rsid w:val="00AB70BE"/>
    <w:rsid w:val="00AB7772"/>
    <w:rsid w:val="00AB7A51"/>
    <w:rsid w:val="00AB7B80"/>
    <w:rsid w:val="00AC0032"/>
    <w:rsid w:val="00AC05C9"/>
    <w:rsid w:val="00AC132C"/>
    <w:rsid w:val="00AC274A"/>
    <w:rsid w:val="00AC294F"/>
    <w:rsid w:val="00AC2ED0"/>
    <w:rsid w:val="00AC2EDD"/>
    <w:rsid w:val="00AC3439"/>
    <w:rsid w:val="00AC3867"/>
    <w:rsid w:val="00AC441D"/>
    <w:rsid w:val="00AC455A"/>
    <w:rsid w:val="00AC4B30"/>
    <w:rsid w:val="00AC5191"/>
    <w:rsid w:val="00AC5F4A"/>
    <w:rsid w:val="00AC6525"/>
    <w:rsid w:val="00AC67A2"/>
    <w:rsid w:val="00AC69EF"/>
    <w:rsid w:val="00AC7624"/>
    <w:rsid w:val="00AC79A0"/>
    <w:rsid w:val="00AC7BB7"/>
    <w:rsid w:val="00AD1CA2"/>
    <w:rsid w:val="00AD1CBF"/>
    <w:rsid w:val="00AD23B2"/>
    <w:rsid w:val="00AD3A79"/>
    <w:rsid w:val="00AD439F"/>
    <w:rsid w:val="00AD5396"/>
    <w:rsid w:val="00AD5D59"/>
    <w:rsid w:val="00AD6180"/>
    <w:rsid w:val="00AD6ABF"/>
    <w:rsid w:val="00AD6F5D"/>
    <w:rsid w:val="00AD7569"/>
    <w:rsid w:val="00AD778C"/>
    <w:rsid w:val="00AD7B91"/>
    <w:rsid w:val="00AD7D76"/>
    <w:rsid w:val="00AD7DAD"/>
    <w:rsid w:val="00AE02C3"/>
    <w:rsid w:val="00AE04A6"/>
    <w:rsid w:val="00AE17A6"/>
    <w:rsid w:val="00AE17C0"/>
    <w:rsid w:val="00AE1A96"/>
    <w:rsid w:val="00AE25FB"/>
    <w:rsid w:val="00AE3E1D"/>
    <w:rsid w:val="00AE442A"/>
    <w:rsid w:val="00AE4AD5"/>
    <w:rsid w:val="00AE4C2B"/>
    <w:rsid w:val="00AE5655"/>
    <w:rsid w:val="00AE57C2"/>
    <w:rsid w:val="00AE5E6B"/>
    <w:rsid w:val="00AE65FD"/>
    <w:rsid w:val="00AF004D"/>
    <w:rsid w:val="00AF0331"/>
    <w:rsid w:val="00AF0787"/>
    <w:rsid w:val="00AF0986"/>
    <w:rsid w:val="00AF1A50"/>
    <w:rsid w:val="00AF25A5"/>
    <w:rsid w:val="00AF27FD"/>
    <w:rsid w:val="00AF2F1C"/>
    <w:rsid w:val="00AF30B8"/>
    <w:rsid w:val="00AF33D3"/>
    <w:rsid w:val="00AF3445"/>
    <w:rsid w:val="00AF3ABB"/>
    <w:rsid w:val="00AF48C0"/>
    <w:rsid w:val="00AF4D78"/>
    <w:rsid w:val="00AF4F56"/>
    <w:rsid w:val="00AF578C"/>
    <w:rsid w:val="00AF5C8C"/>
    <w:rsid w:val="00AF60EA"/>
    <w:rsid w:val="00AF67E1"/>
    <w:rsid w:val="00AF6D17"/>
    <w:rsid w:val="00B00032"/>
    <w:rsid w:val="00B0062B"/>
    <w:rsid w:val="00B00C0D"/>
    <w:rsid w:val="00B00DE7"/>
    <w:rsid w:val="00B00F3F"/>
    <w:rsid w:val="00B01464"/>
    <w:rsid w:val="00B01F7E"/>
    <w:rsid w:val="00B02164"/>
    <w:rsid w:val="00B025CC"/>
    <w:rsid w:val="00B02E95"/>
    <w:rsid w:val="00B033B8"/>
    <w:rsid w:val="00B042ED"/>
    <w:rsid w:val="00B0484F"/>
    <w:rsid w:val="00B0509F"/>
    <w:rsid w:val="00B05493"/>
    <w:rsid w:val="00B05D47"/>
    <w:rsid w:val="00B05F84"/>
    <w:rsid w:val="00B0638D"/>
    <w:rsid w:val="00B06AC3"/>
    <w:rsid w:val="00B07ACA"/>
    <w:rsid w:val="00B07BA2"/>
    <w:rsid w:val="00B11282"/>
    <w:rsid w:val="00B12282"/>
    <w:rsid w:val="00B128CE"/>
    <w:rsid w:val="00B1298D"/>
    <w:rsid w:val="00B13224"/>
    <w:rsid w:val="00B13B03"/>
    <w:rsid w:val="00B14EFF"/>
    <w:rsid w:val="00B154C8"/>
    <w:rsid w:val="00B1584C"/>
    <w:rsid w:val="00B169CC"/>
    <w:rsid w:val="00B1729D"/>
    <w:rsid w:val="00B17B0C"/>
    <w:rsid w:val="00B220FD"/>
    <w:rsid w:val="00B22254"/>
    <w:rsid w:val="00B22B4F"/>
    <w:rsid w:val="00B22F64"/>
    <w:rsid w:val="00B231FA"/>
    <w:rsid w:val="00B23239"/>
    <w:rsid w:val="00B23352"/>
    <w:rsid w:val="00B23393"/>
    <w:rsid w:val="00B23B17"/>
    <w:rsid w:val="00B24096"/>
    <w:rsid w:val="00B24236"/>
    <w:rsid w:val="00B24EC0"/>
    <w:rsid w:val="00B25146"/>
    <w:rsid w:val="00B25173"/>
    <w:rsid w:val="00B25652"/>
    <w:rsid w:val="00B25E33"/>
    <w:rsid w:val="00B25ED8"/>
    <w:rsid w:val="00B26328"/>
    <w:rsid w:val="00B26E41"/>
    <w:rsid w:val="00B30A87"/>
    <w:rsid w:val="00B313BD"/>
    <w:rsid w:val="00B315AF"/>
    <w:rsid w:val="00B3184F"/>
    <w:rsid w:val="00B325FF"/>
    <w:rsid w:val="00B32BD3"/>
    <w:rsid w:val="00B32FED"/>
    <w:rsid w:val="00B33327"/>
    <w:rsid w:val="00B335D1"/>
    <w:rsid w:val="00B337DD"/>
    <w:rsid w:val="00B34CDE"/>
    <w:rsid w:val="00B35713"/>
    <w:rsid w:val="00B3616C"/>
    <w:rsid w:val="00B363AD"/>
    <w:rsid w:val="00B36642"/>
    <w:rsid w:val="00B36666"/>
    <w:rsid w:val="00B36983"/>
    <w:rsid w:val="00B36EF4"/>
    <w:rsid w:val="00B378AA"/>
    <w:rsid w:val="00B40C8E"/>
    <w:rsid w:val="00B41829"/>
    <w:rsid w:val="00B41894"/>
    <w:rsid w:val="00B419CD"/>
    <w:rsid w:val="00B42029"/>
    <w:rsid w:val="00B42A2A"/>
    <w:rsid w:val="00B4416D"/>
    <w:rsid w:val="00B44558"/>
    <w:rsid w:val="00B446BE"/>
    <w:rsid w:val="00B44C49"/>
    <w:rsid w:val="00B44CA3"/>
    <w:rsid w:val="00B45319"/>
    <w:rsid w:val="00B453A6"/>
    <w:rsid w:val="00B45C71"/>
    <w:rsid w:val="00B4666F"/>
    <w:rsid w:val="00B473EF"/>
    <w:rsid w:val="00B47493"/>
    <w:rsid w:val="00B475C2"/>
    <w:rsid w:val="00B47633"/>
    <w:rsid w:val="00B47672"/>
    <w:rsid w:val="00B47AF3"/>
    <w:rsid w:val="00B5010A"/>
    <w:rsid w:val="00B5014F"/>
    <w:rsid w:val="00B50276"/>
    <w:rsid w:val="00B51E69"/>
    <w:rsid w:val="00B521C4"/>
    <w:rsid w:val="00B52514"/>
    <w:rsid w:val="00B53218"/>
    <w:rsid w:val="00B53983"/>
    <w:rsid w:val="00B541AA"/>
    <w:rsid w:val="00B55062"/>
    <w:rsid w:val="00B55376"/>
    <w:rsid w:val="00B558B0"/>
    <w:rsid w:val="00B55BBF"/>
    <w:rsid w:val="00B5619D"/>
    <w:rsid w:val="00B562E0"/>
    <w:rsid w:val="00B571E1"/>
    <w:rsid w:val="00B573C6"/>
    <w:rsid w:val="00B57530"/>
    <w:rsid w:val="00B602D2"/>
    <w:rsid w:val="00B61174"/>
    <w:rsid w:val="00B616E2"/>
    <w:rsid w:val="00B619E7"/>
    <w:rsid w:val="00B621DA"/>
    <w:rsid w:val="00B6275C"/>
    <w:rsid w:val="00B63197"/>
    <w:rsid w:val="00B63820"/>
    <w:rsid w:val="00B63BB8"/>
    <w:rsid w:val="00B63EAD"/>
    <w:rsid w:val="00B64B34"/>
    <w:rsid w:val="00B652D0"/>
    <w:rsid w:val="00B65C5C"/>
    <w:rsid w:val="00B672A8"/>
    <w:rsid w:val="00B6736F"/>
    <w:rsid w:val="00B677EB"/>
    <w:rsid w:val="00B67F89"/>
    <w:rsid w:val="00B704FF"/>
    <w:rsid w:val="00B70553"/>
    <w:rsid w:val="00B709D6"/>
    <w:rsid w:val="00B7138B"/>
    <w:rsid w:val="00B723EF"/>
    <w:rsid w:val="00B726DF"/>
    <w:rsid w:val="00B72BDB"/>
    <w:rsid w:val="00B72EF9"/>
    <w:rsid w:val="00B73577"/>
    <w:rsid w:val="00B73785"/>
    <w:rsid w:val="00B73AC1"/>
    <w:rsid w:val="00B74662"/>
    <w:rsid w:val="00B7489F"/>
    <w:rsid w:val="00B75C1E"/>
    <w:rsid w:val="00B75E5C"/>
    <w:rsid w:val="00B761F2"/>
    <w:rsid w:val="00B77A80"/>
    <w:rsid w:val="00B804BA"/>
    <w:rsid w:val="00B80579"/>
    <w:rsid w:val="00B806F9"/>
    <w:rsid w:val="00B80811"/>
    <w:rsid w:val="00B814B7"/>
    <w:rsid w:val="00B81C05"/>
    <w:rsid w:val="00B82167"/>
    <w:rsid w:val="00B82FFB"/>
    <w:rsid w:val="00B83312"/>
    <w:rsid w:val="00B83810"/>
    <w:rsid w:val="00B83884"/>
    <w:rsid w:val="00B83B0B"/>
    <w:rsid w:val="00B83BCD"/>
    <w:rsid w:val="00B83DE4"/>
    <w:rsid w:val="00B83E83"/>
    <w:rsid w:val="00B8479A"/>
    <w:rsid w:val="00B85769"/>
    <w:rsid w:val="00B860F1"/>
    <w:rsid w:val="00B86B78"/>
    <w:rsid w:val="00B8761E"/>
    <w:rsid w:val="00B87FC2"/>
    <w:rsid w:val="00B9018F"/>
    <w:rsid w:val="00B90ECD"/>
    <w:rsid w:val="00B91E56"/>
    <w:rsid w:val="00B91F36"/>
    <w:rsid w:val="00B926E7"/>
    <w:rsid w:val="00B92E0D"/>
    <w:rsid w:val="00B93B80"/>
    <w:rsid w:val="00B94196"/>
    <w:rsid w:val="00B94238"/>
    <w:rsid w:val="00B9429C"/>
    <w:rsid w:val="00B942DE"/>
    <w:rsid w:val="00B961AF"/>
    <w:rsid w:val="00B9647E"/>
    <w:rsid w:val="00B96DAF"/>
    <w:rsid w:val="00B97043"/>
    <w:rsid w:val="00BA0CD4"/>
    <w:rsid w:val="00BA167B"/>
    <w:rsid w:val="00BA19F2"/>
    <w:rsid w:val="00BA1C84"/>
    <w:rsid w:val="00BA1D6A"/>
    <w:rsid w:val="00BA1E77"/>
    <w:rsid w:val="00BA1FA5"/>
    <w:rsid w:val="00BA2D45"/>
    <w:rsid w:val="00BA3228"/>
    <w:rsid w:val="00BA33AD"/>
    <w:rsid w:val="00BA3E18"/>
    <w:rsid w:val="00BA4779"/>
    <w:rsid w:val="00BA4EC2"/>
    <w:rsid w:val="00BA51F0"/>
    <w:rsid w:val="00BA6220"/>
    <w:rsid w:val="00BA66D6"/>
    <w:rsid w:val="00BA6889"/>
    <w:rsid w:val="00BA6D02"/>
    <w:rsid w:val="00BA6DF6"/>
    <w:rsid w:val="00BA74A2"/>
    <w:rsid w:val="00BA755A"/>
    <w:rsid w:val="00BB0DE7"/>
    <w:rsid w:val="00BB0EB3"/>
    <w:rsid w:val="00BB1227"/>
    <w:rsid w:val="00BB18A9"/>
    <w:rsid w:val="00BB1DEB"/>
    <w:rsid w:val="00BB2078"/>
    <w:rsid w:val="00BB2208"/>
    <w:rsid w:val="00BB2E6B"/>
    <w:rsid w:val="00BB32C8"/>
    <w:rsid w:val="00BB3343"/>
    <w:rsid w:val="00BB4E8E"/>
    <w:rsid w:val="00BB58D3"/>
    <w:rsid w:val="00BB5A1A"/>
    <w:rsid w:val="00BB6057"/>
    <w:rsid w:val="00BB6707"/>
    <w:rsid w:val="00BB6D68"/>
    <w:rsid w:val="00BB7F09"/>
    <w:rsid w:val="00BC0069"/>
    <w:rsid w:val="00BC018D"/>
    <w:rsid w:val="00BC04E5"/>
    <w:rsid w:val="00BC244D"/>
    <w:rsid w:val="00BC250F"/>
    <w:rsid w:val="00BC2F3B"/>
    <w:rsid w:val="00BC373B"/>
    <w:rsid w:val="00BC3927"/>
    <w:rsid w:val="00BC3AD5"/>
    <w:rsid w:val="00BC3B2E"/>
    <w:rsid w:val="00BC47A0"/>
    <w:rsid w:val="00BC4897"/>
    <w:rsid w:val="00BC4DF0"/>
    <w:rsid w:val="00BC5D89"/>
    <w:rsid w:val="00BC62B2"/>
    <w:rsid w:val="00BC701A"/>
    <w:rsid w:val="00BC7067"/>
    <w:rsid w:val="00BC7864"/>
    <w:rsid w:val="00BC78F9"/>
    <w:rsid w:val="00BC7D4F"/>
    <w:rsid w:val="00BD0A03"/>
    <w:rsid w:val="00BD0C82"/>
    <w:rsid w:val="00BD12AE"/>
    <w:rsid w:val="00BD137F"/>
    <w:rsid w:val="00BD1991"/>
    <w:rsid w:val="00BD199C"/>
    <w:rsid w:val="00BD2035"/>
    <w:rsid w:val="00BD233F"/>
    <w:rsid w:val="00BD2908"/>
    <w:rsid w:val="00BD2FD2"/>
    <w:rsid w:val="00BD3A44"/>
    <w:rsid w:val="00BD3AFE"/>
    <w:rsid w:val="00BD3E38"/>
    <w:rsid w:val="00BD4272"/>
    <w:rsid w:val="00BD4727"/>
    <w:rsid w:val="00BD4BE1"/>
    <w:rsid w:val="00BD539F"/>
    <w:rsid w:val="00BD55F5"/>
    <w:rsid w:val="00BD572D"/>
    <w:rsid w:val="00BD5A19"/>
    <w:rsid w:val="00BD6439"/>
    <w:rsid w:val="00BD706B"/>
    <w:rsid w:val="00BD79FD"/>
    <w:rsid w:val="00BD7D26"/>
    <w:rsid w:val="00BD7EA9"/>
    <w:rsid w:val="00BE0586"/>
    <w:rsid w:val="00BE084B"/>
    <w:rsid w:val="00BE0BE0"/>
    <w:rsid w:val="00BE0DEB"/>
    <w:rsid w:val="00BE15AD"/>
    <w:rsid w:val="00BE1D29"/>
    <w:rsid w:val="00BE26E8"/>
    <w:rsid w:val="00BE35EB"/>
    <w:rsid w:val="00BE3ED2"/>
    <w:rsid w:val="00BE3F86"/>
    <w:rsid w:val="00BE42F1"/>
    <w:rsid w:val="00BE456A"/>
    <w:rsid w:val="00BE54EA"/>
    <w:rsid w:val="00BE5922"/>
    <w:rsid w:val="00BE599A"/>
    <w:rsid w:val="00BE5AFD"/>
    <w:rsid w:val="00BE5E8C"/>
    <w:rsid w:val="00BE653D"/>
    <w:rsid w:val="00BE71C8"/>
    <w:rsid w:val="00BE7AD7"/>
    <w:rsid w:val="00BF065A"/>
    <w:rsid w:val="00BF0AD6"/>
    <w:rsid w:val="00BF10D8"/>
    <w:rsid w:val="00BF19AE"/>
    <w:rsid w:val="00BF1A43"/>
    <w:rsid w:val="00BF2112"/>
    <w:rsid w:val="00BF28D4"/>
    <w:rsid w:val="00BF2D75"/>
    <w:rsid w:val="00BF3642"/>
    <w:rsid w:val="00BF3AED"/>
    <w:rsid w:val="00BF4169"/>
    <w:rsid w:val="00BF42AB"/>
    <w:rsid w:val="00BF45FC"/>
    <w:rsid w:val="00BF465F"/>
    <w:rsid w:val="00BF48D1"/>
    <w:rsid w:val="00BF4941"/>
    <w:rsid w:val="00BF5441"/>
    <w:rsid w:val="00BF56C8"/>
    <w:rsid w:val="00BF5CA8"/>
    <w:rsid w:val="00BF609A"/>
    <w:rsid w:val="00BF719E"/>
    <w:rsid w:val="00C002AD"/>
    <w:rsid w:val="00C00A13"/>
    <w:rsid w:val="00C00E41"/>
    <w:rsid w:val="00C014F3"/>
    <w:rsid w:val="00C01890"/>
    <w:rsid w:val="00C018AD"/>
    <w:rsid w:val="00C02F01"/>
    <w:rsid w:val="00C031B4"/>
    <w:rsid w:val="00C0324F"/>
    <w:rsid w:val="00C054E9"/>
    <w:rsid w:val="00C058FE"/>
    <w:rsid w:val="00C05CE9"/>
    <w:rsid w:val="00C06534"/>
    <w:rsid w:val="00C06649"/>
    <w:rsid w:val="00C069C9"/>
    <w:rsid w:val="00C0708B"/>
    <w:rsid w:val="00C077F9"/>
    <w:rsid w:val="00C07BFA"/>
    <w:rsid w:val="00C07C96"/>
    <w:rsid w:val="00C100B6"/>
    <w:rsid w:val="00C1031F"/>
    <w:rsid w:val="00C10E0A"/>
    <w:rsid w:val="00C1114F"/>
    <w:rsid w:val="00C11415"/>
    <w:rsid w:val="00C11E12"/>
    <w:rsid w:val="00C12AF6"/>
    <w:rsid w:val="00C12DAE"/>
    <w:rsid w:val="00C12DD4"/>
    <w:rsid w:val="00C1342E"/>
    <w:rsid w:val="00C13502"/>
    <w:rsid w:val="00C13B94"/>
    <w:rsid w:val="00C13E10"/>
    <w:rsid w:val="00C14265"/>
    <w:rsid w:val="00C1478B"/>
    <w:rsid w:val="00C152EE"/>
    <w:rsid w:val="00C15CA0"/>
    <w:rsid w:val="00C16B0F"/>
    <w:rsid w:val="00C16CA4"/>
    <w:rsid w:val="00C16F59"/>
    <w:rsid w:val="00C17476"/>
    <w:rsid w:val="00C17494"/>
    <w:rsid w:val="00C17A6C"/>
    <w:rsid w:val="00C17B93"/>
    <w:rsid w:val="00C20893"/>
    <w:rsid w:val="00C21205"/>
    <w:rsid w:val="00C214DD"/>
    <w:rsid w:val="00C21B98"/>
    <w:rsid w:val="00C23267"/>
    <w:rsid w:val="00C2413C"/>
    <w:rsid w:val="00C244E4"/>
    <w:rsid w:val="00C24666"/>
    <w:rsid w:val="00C251CC"/>
    <w:rsid w:val="00C257D1"/>
    <w:rsid w:val="00C266CF"/>
    <w:rsid w:val="00C26904"/>
    <w:rsid w:val="00C26CDA"/>
    <w:rsid w:val="00C276FC"/>
    <w:rsid w:val="00C30CE4"/>
    <w:rsid w:val="00C317A5"/>
    <w:rsid w:val="00C32298"/>
    <w:rsid w:val="00C32995"/>
    <w:rsid w:val="00C32AB8"/>
    <w:rsid w:val="00C32B5F"/>
    <w:rsid w:val="00C32DFE"/>
    <w:rsid w:val="00C32F5D"/>
    <w:rsid w:val="00C33814"/>
    <w:rsid w:val="00C34093"/>
    <w:rsid w:val="00C3555E"/>
    <w:rsid w:val="00C356D7"/>
    <w:rsid w:val="00C35BB4"/>
    <w:rsid w:val="00C36422"/>
    <w:rsid w:val="00C36FF1"/>
    <w:rsid w:val="00C37C81"/>
    <w:rsid w:val="00C4141D"/>
    <w:rsid w:val="00C41523"/>
    <w:rsid w:val="00C41F6A"/>
    <w:rsid w:val="00C42326"/>
    <w:rsid w:val="00C430DE"/>
    <w:rsid w:val="00C43D12"/>
    <w:rsid w:val="00C445D1"/>
    <w:rsid w:val="00C451EE"/>
    <w:rsid w:val="00C455F4"/>
    <w:rsid w:val="00C45A48"/>
    <w:rsid w:val="00C45A88"/>
    <w:rsid w:val="00C46700"/>
    <w:rsid w:val="00C46994"/>
    <w:rsid w:val="00C47B75"/>
    <w:rsid w:val="00C47B92"/>
    <w:rsid w:val="00C47CF2"/>
    <w:rsid w:val="00C500F2"/>
    <w:rsid w:val="00C50702"/>
    <w:rsid w:val="00C5118C"/>
    <w:rsid w:val="00C51EBD"/>
    <w:rsid w:val="00C5268C"/>
    <w:rsid w:val="00C52C0C"/>
    <w:rsid w:val="00C52C7C"/>
    <w:rsid w:val="00C52EE8"/>
    <w:rsid w:val="00C53596"/>
    <w:rsid w:val="00C538A6"/>
    <w:rsid w:val="00C541E0"/>
    <w:rsid w:val="00C54489"/>
    <w:rsid w:val="00C546DD"/>
    <w:rsid w:val="00C55D09"/>
    <w:rsid w:val="00C56187"/>
    <w:rsid w:val="00C5645E"/>
    <w:rsid w:val="00C56BD1"/>
    <w:rsid w:val="00C578A1"/>
    <w:rsid w:val="00C57C2D"/>
    <w:rsid w:val="00C61A05"/>
    <w:rsid w:val="00C6289F"/>
    <w:rsid w:val="00C638E2"/>
    <w:rsid w:val="00C64373"/>
    <w:rsid w:val="00C644F5"/>
    <w:rsid w:val="00C64785"/>
    <w:rsid w:val="00C6486D"/>
    <w:rsid w:val="00C64B33"/>
    <w:rsid w:val="00C6622B"/>
    <w:rsid w:val="00C6789B"/>
    <w:rsid w:val="00C679BB"/>
    <w:rsid w:val="00C70989"/>
    <w:rsid w:val="00C711ED"/>
    <w:rsid w:val="00C71391"/>
    <w:rsid w:val="00C7143E"/>
    <w:rsid w:val="00C7145C"/>
    <w:rsid w:val="00C71683"/>
    <w:rsid w:val="00C719A4"/>
    <w:rsid w:val="00C724CE"/>
    <w:rsid w:val="00C72573"/>
    <w:rsid w:val="00C72CF3"/>
    <w:rsid w:val="00C72D1E"/>
    <w:rsid w:val="00C72DDA"/>
    <w:rsid w:val="00C73C77"/>
    <w:rsid w:val="00C7489C"/>
    <w:rsid w:val="00C7494C"/>
    <w:rsid w:val="00C75073"/>
    <w:rsid w:val="00C75331"/>
    <w:rsid w:val="00C757D4"/>
    <w:rsid w:val="00C75A2B"/>
    <w:rsid w:val="00C75B63"/>
    <w:rsid w:val="00C76A9F"/>
    <w:rsid w:val="00C76F38"/>
    <w:rsid w:val="00C77460"/>
    <w:rsid w:val="00C77BE0"/>
    <w:rsid w:val="00C80498"/>
    <w:rsid w:val="00C80CAC"/>
    <w:rsid w:val="00C80EAF"/>
    <w:rsid w:val="00C814D9"/>
    <w:rsid w:val="00C81F96"/>
    <w:rsid w:val="00C82538"/>
    <w:rsid w:val="00C82964"/>
    <w:rsid w:val="00C83762"/>
    <w:rsid w:val="00C837EF"/>
    <w:rsid w:val="00C83B52"/>
    <w:rsid w:val="00C83FA3"/>
    <w:rsid w:val="00C85D2D"/>
    <w:rsid w:val="00C86037"/>
    <w:rsid w:val="00C860EA"/>
    <w:rsid w:val="00C8618F"/>
    <w:rsid w:val="00C86575"/>
    <w:rsid w:val="00C8663C"/>
    <w:rsid w:val="00C86D50"/>
    <w:rsid w:val="00C873A9"/>
    <w:rsid w:val="00C87572"/>
    <w:rsid w:val="00C8758D"/>
    <w:rsid w:val="00C8775F"/>
    <w:rsid w:val="00C87B22"/>
    <w:rsid w:val="00C904E2"/>
    <w:rsid w:val="00C908C8"/>
    <w:rsid w:val="00C90DDE"/>
    <w:rsid w:val="00C90E6B"/>
    <w:rsid w:val="00C91BF9"/>
    <w:rsid w:val="00C91ED6"/>
    <w:rsid w:val="00C922EA"/>
    <w:rsid w:val="00C92963"/>
    <w:rsid w:val="00C92B8B"/>
    <w:rsid w:val="00C92F1C"/>
    <w:rsid w:val="00C93132"/>
    <w:rsid w:val="00C93567"/>
    <w:rsid w:val="00C9409F"/>
    <w:rsid w:val="00C945DF"/>
    <w:rsid w:val="00C947BF"/>
    <w:rsid w:val="00C948CA"/>
    <w:rsid w:val="00C94F9C"/>
    <w:rsid w:val="00C96123"/>
    <w:rsid w:val="00C96676"/>
    <w:rsid w:val="00C96798"/>
    <w:rsid w:val="00C96889"/>
    <w:rsid w:val="00C969F9"/>
    <w:rsid w:val="00C977B9"/>
    <w:rsid w:val="00C97900"/>
    <w:rsid w:val="00C97D8B"/>
    <w:rsid w:val="00C97DEA"/>
    <w:rsid w:val="00C97E73"/>
    <w:rsid w:val="00CA068B"/>
    <w:rsid w:val="00CA0936"/>
    <w:rsid w:val="00CA0CB0"/>
    <w:rsid w:val="00CA1493"/>
    <w:rsid w:val="00CA1495"/>
    <w:rsid w:val="00CA1F34"/>
    <w:rsid w:val="00CA2AD1"/>
    <w:rsid w:val="00CA3519"/>
    <w:rsid w:val="00CA409E"/>
    <w:rsid w:val="00CA5925"/>
    <w:rsid w:val="00CA5DCF"/>
    <w:rsid w:val="00CA5F0E"/>
    <w:rsid w:val="00CA6801"/>
    <w:rsid w:val="00CA6C26"/>
    <w:rsid w:val="00CA6F73"/>
    <w:rsid w:val="00CA72B5"/>
    <w:rsid w:val="00CA73B2"/>
    <w:rsid w:val="00CA7E42"/>
    <w:rsid w:val="00CA7F77"/>
    <w:rsid w:val="00CB0154"/>
    <w:rsid w:val="00CB08BE"/>
    <w:rsid w:val="00CB1B09"/>
    <w:rsid w:val="00CB2005"/>
    <w:rsid w:val="00CB2E89"/>
    <w:rsid w:val="00CB34BD"/>
    <w:rsid w:val="00CB4093"/>
    <w:rsid w:val="00CB43CB"/>
    <w:rsid w:val="00CB4956"/>
    <w:rsid w:val="00CB49A4"/>
    <w:rsid w:val="00CB4DB3"/>
    <w:rsid w:val="00CB4F9C"/>
    <w:rsid w:val="00CB585F"/>
    <w:rsid w:val="00CB589E"/>
    <w:rsid w:val="00CB6C7E"/>
    <w:rsid w:val="00CB7681"/>
    <w:rsid w:val="00CB79A0"/>
    <w:rsid w:val="00CB7C12"/>
    <w:rsid w:val="00CC0149"/>
    <w:rsid w:val="00CC0382"/>
    <w:rsid w:val="00CC18BC"/>
    <w:rsid w:val="00CC2064"/>
    <w:rsid w:val="00CC2928"/>
    <w:rsid w:val="00CC4F94"/>
    <w:rsid w:val="00CC4FF7"/>
    <w:rsid w:val="00CC52C7"/>
    <w:rsid w:val="00CC53B8"/>
    <w:rsid w:val="00CC575E"/>
    <w:rsid w:val="00CC6416"/>
    <w:rsid w:val="00CC6A2F"/>
    <w:rsid w:val="00CC6A58"/>
    <w:rsid w:val="00CC7C49"/>
    <w:rsid w:val="00CD03E7"/>
    <w:rsid w:val="00CD0B9F"/>
    <w:rsid w:val="00CD0D34"/>
    <w:rsid w:val="00CD0E3D"/>
    <w:rsid w:val="00CD1379"/>
    <w:rsid w:val="00CD191B"/>
    <w:rsid w:val="00CD2008"/>
    <w:rsid w:val="00CD2096"/>
    <w:rsid w:val="00CD2A44"/>
    <w:rsid w:val="00CD2AAD"/>
    <w:rsid w:val="00CD2BBB"/>
    <w:rsid w:val="00CD2F01"/>
    <w:rsid w:val="00CD3090"/>
    <w:rsid w:val="00CD30D1"/>
    <w:rsid w:val="00CD3631"/>
    <w:rsid w:val="00CD3D83"/>
    <w:rsid w:val="00CD3F5F"/>
    <w:rsid w:val="00CD42FF"/>
    <w:rsid w:val="00CD4824"/>
    <w:rsid w:val="00CD4FC8"/>
    <w:rsid w:val="00CD613D"/>
    <w:rsid w:val="00CD79E7"/>
    <w:rsid w:val="00CD7C0F"/>
    <w:rsid w:val="00CE072C"/>
    <w:rsid w:val="00CE0E0E"/>
    <w:rsid w:val="00CE1340"/>
    <w:rsid w:val="00CE1A1F"/>
    <w:rsid w:val="00CE1D1A"/>
    <w:rsid w:val="00CE1DFC"/>
    <w:rsid w:val="00CE3514"/>
    <w:rsid w:val="00CE4656"/>
    <w:rsid w:val="00CE49C7"/>
    <w:rsid w:val="00CE4EF5"/>
    <w:rsid w:val="00CE5629"/>
    <w:rsid w:val="00CE5F4D"/>
    <w:rsid w:val="00CE6706"/>
    <w:rsid w:val="00CE6927"/>
    <w:rsid w:val="00CE6BE6"/>
    <w:rsid w:val="00CE6EC5"/>
    <w:rsid w:val="00CE74FA"/>
    <w:rsid w:val="00CE78E0"/>
    <w:rsid w:val="00CF0A55"/>
    <w:rsid w:val="00CF2A57"/>
    <w:rsid w:val="00CF3991"/>
    <w:rsid w:val="00CF3C33"/>
    <w:rsid w:val="00CF3E60"/>
    <w:rsid w:val="00CF3EF3"/>
    <w:rsid w:val="00CF48FB"/>
    <w:rsid w:val="00CF4ECC"/>
    <w:rsid w:val="00CF4F5C"/>
    <w:rsid w:val="00CF6003"/>
    <w:rsid w:val="00CF6DE0"/>
    <w:rsid w:val="00CF7548"/>
    <w:rsid w:val="00CF7A02"/>
    <w:rsid w:val="00CF7B29"/>
    <w:rsid w:val="00CF7EC9"/>
    <w:rsid w:val="00D00688"/>
    <w:rsid w:val="00D017BD"/>
    <w:rsid w:val="00D0204D"/>
    <w:rsid w:val="00D022BC"/>
    <w:rsid w:val="00D05249"/>
    <w:rsid w:val="00D05899"/>
    <w:rsid w:val="00D060A8"/>
    <w:rsid w:val="00D061B0"/>
    <w:rsid w:val="00D06F6C"/>
    <w:rsid w:val="00D0721D"/>
    <w:rsid w:val="00D074CD"/>
    <w:rsid w:val="00D1033C"/>
    <w:rsid w:val="00D105A5"/>
    <w:rsid w:val="00D10D1B"/>
    <w:rsid w:val="00D10EFC"/>
    <w:rsid w:val="00D113A9"/>
    <w:rsid w:val="00D11600"/>
    <w:rsid w:val="00D13FD1"/>
    <w:rsid w:val="00D141D8"/>
    <w:rsid w:val="00D14992"/>
    <w:rsid w:val="00D14B3A"/>
    <w:rsid w:val="00D15078"/>
    <w:rsid w:val="00D15483"/>
    <w:rsid w:val="00D1556B"/>
    <w:rsid w:val="00D15908"/>
    <w:rsid w:val="00D161CE"/>
    <w:rsid w:val="00D1625A"/>
    <w:rsid w:val="00D17A7B"/>
    <w:rsid w:val="00D17CDA"/>
    <w:rsid w:val="00D20300"/>
    <w:rsid w:val="00D20CCF"/>
    <w:rsid w:val="00D211AA"/>
    <w:rsid w:val="00D211EF"/>
    <w:rsid w:val="00D21D13"/>
    <w:rsid w:val="00D21E30"/>
    <w:rsid w:val="00D230A9"/>
    <w:rsid w:val="00D230CF"/>
    <w:rsid w:val="00D23304"/>
    <w:rsid w:val="00D236CF"/>
    <w:rsid w:val="00D237C1"/>
    <w:rsid w:val="00D25BCE"/>
    <w:rsid w:val="00D25BE4"/>
    <w:rsid w:val="00D25D7C"/>
    <w:rsid w:val="00D2622C"/>
    <w:rsid w:val="00D26579"/>
    <w:rsid w:val="00D3021C"/>
    <w:rsid w:val="00D30F1D"/>
    <w:rsid w:val="00D31442"/>
    <w:rsid w:val="00D31A2E"/>
    <w:rsid w:val="00D3206A"/>
    <w:rsid w:val="00D32119"/>
    <w:rsid w:val="00D32547"/>
    <w:rsid w:val="00D33024"/>
    <w:rsid w:val="00D33149"/>
    <w:rsid w:val="00D3482E"/>
    <w:rsid w:val="00D34B02"/>
    <w:rsid w:val="00D34E63"/>
    <w:rsid w:val="00D353AC"/>
    <w:rsid w:val="00D35443"/>
    <w:rsid w:val="00D354EB"/>
    <w:rsid w:val="00D36609"/>
    <w:rsid w:val="00D369C9"/>
    <w:rsid w:val="00D36D67"/>
    <w:rsid w:val="00D36D92"/>
    <w:rsid w:val="00D36E42"/>
    <w:rsid w:val="00D37532"/>
    <w:rsid w:val="00D37A80"/>
    <w:rsid w:val="00D37C9D"/>
    <w:rsid w:val="00D37D12"/>
    <w:rsid w:val="00D37E1F"/>
    <w:rsid w:val="00D402D1"/>
    <w:rsid w:val="00D40985"/>
    <w:rsid w:val="00D40BF5"/>
    <w:rsid w:val="00D40E74"/>
    <w:rsid w:val="00D41AD7"/>
    <w:rsid w:val="00D42309"/>
    <w:rsid w:val="00D448AE"/>
    <w:rsid w:val="00D45502"/>
    <w:rsid w:val="00D4596A"/>
    <w:rsid w:val="00D45AF7"/>
    <w:rsid w:val="00D461ED"/>
    <w:rsid w:val="00D46645"/>
    <w:rsid w:val="00D46C7A"/>
    <w:rsid w:val="00D47508"/>
    <w:rsid w:val="00D50535"/>
    <w:rsid w:val="00D50D29"/>
    <w:rsid w:val="00D50D66"/>
    <w:rsid w:val="00D5106B"/>
    <w:rsid w:val="00D51594"/>
    <w:rsid w:val="00D515FF"/>
    <w:rsid w:val="00D51E35"/>
    <w:rsid w:val="00D523A6"/>
    <w:rsid w:val="00D52827"/>
    <w:rsid w:val="00D52AF8"/>
    <w:rsid w:val="00D545C0"/>
    <w:rsid w:val="00D54B13"/>
    <w:rsid w:val="00D54C7A"/>
    <w:rsid w:val="00D54F65"/>
    <w:rsid w:val="00D55FA9"/>
    <w:rsid w:val="00D5705D"/>
    <w:rsid w:val="00D57497"/>
    <w:rsid w:val="00D5763A"/>
    <w:rsid w:val="00D576D7"/>
    <w:rsid w:val="00D57766"/>
    <w:rsid w:val="00D610DB"/>
    <w:rsid w:val="00D61565"/>
    <w:rsid w:val="00D616AB"/>
    <w:rsid w:val="00D618A5"/>
    <w:rsid w:val="00D62E18"/>
    <w:rsid w:val="00D63092"/>
    <w:rsid w:val="00D63237"/>
    <w:rsid w:val="00D63283"/>
    <w:rsid w:val="00D63521"/>
    <w:rsid w:val="00D63717"/>
    <w:rsid w:val="00D63B45"/>
    <w:rsid w:val="00D63C12"/>
    <w:rsid w:val="00D63FF0"/>
    <w:rsid w:val="00D642BA"/>
    <w:rsid w:val="00D64316"/>
    <w:rsid w:val="00D643A3"/>
    <w:rsid w:val="00D64DE3"/>
    <w:rsid w:val="00D64E12"/>
    <w:rsid w:val="00D64FDD"/>
    <w:rsid w:val="00D65656"/>
    <w:rsid w:val="00D6582F"/>
    <w:rsid w:val="00D663C0"/>
    <w:rsid w:val="00D674A0"/>
    <w:rsid w:val="00D67D9A"/>
    <w:rsid w:val="00D71959"/>
    <w:rsid w:val="00D71ABA"/>
    <w:rsid w:val="00D7212E"/>
    <w:rsid w:val="00D72187"/>
    <w:rsid w:val="00D722DA"/>
    <w:rsid w:val="00D723FC"/>
    <w:rsid w:val="00D72ACB"/>
    <w:rsid w:val="00D72B40"/>
    <w:rsid w:val="00D739B7"/>
    <w:rsid w:val="00D739F3"/>
    <w:rsid w:val="00D74892"/>
    <w:rsid w:val="00D74A39"/>
    <w:rsid w:val="00D74A44"/>
    <w:rsid w:val="00D74C8D"/>
    <w:rsid w:val="00D74D27"/>
    <w:rsid w:val="00D756FF"/>
    <w:rsid w:val="00D75AD2"/>
    <w:rsid w:val="00D76D86"/>
    <w:rsid w:val="00D81874"/>
    <w:rsid w:val="00D81AEA"/>
    <w:rsid w:val="00D82945"/>
    <w:rsid w:val="00D83607"/>
    <w:rsid w:val="00D84031"/>
    <w:rsid w:val="00D8418B"/>
    <w:rsid w:val="00D849F7"/>
    <w:rsid w:val="00D84C7A"/>
    <w:rsid w:val="00D84EF2"/>
    <w:rsid w:val="00D850DB"/>
    <w:rsid w:val="00D853B0"/>
    <w:rsid w:val="00D855AE"/>
    <w:rsid w:val="00D866B8"/>
    <w:rsid w:val="00D86A09"/>
    <w:rsid w:val="00D87A2A"/>
    <w:rsid w:val="00D908DC"/>
    <w:rsid w:val="00D915F2"/>
    <w:rsid w:val="00D927AD"/>
    <w:rsid w:val="00D9370D"/>
    <w:rsid w:val="00D940EB"/>
    <w:rsid w:val="00D94D55"/>
    <w:rsid w:val="00D955B6"/>
    <w:rsid w:val="00D9570C"/>
    <w:rsid w:val="00D95ACB"/>
    <w:rsid w:val="00D95E34"/>
    <w:rsid w:val="00D96480"/>
    <w:rsid w:val="00D96B6F"/>
    <w:rsid w:val="00D97099"/>
    <w:rsid w:val="00D973C8"/>
    <w:rsid w:val="00D97DCC"/>
    <w:rsid w:val="00D97FAA"/>
    <w:rsid w:val="00DA1E14"/>
    <w:rsid w:val="00DA3A5C"/>
    <w:rsid w:val="00DA3BB0"/>
    <w:rsid w:val="00DA3E0E"/>
    <w:rsid w:val="00DA402F"/>
    <w:rsid w:val="00DA470A"/>
    <w:rsid w:val="00DA57B4"/>
    <w:rsid w:val="00DA5866"/>
    <w:rsid w:val="00DA5DA7"/>
    <w:rsid w:val="00DA6798"/>
    <w:rsid w:val="00DA6EA6"/>
    <w:rsid w:val="00DA7209"/>
    <w:rsid w:val="00DA731B"/>
    <w:rsid w:val="00DA7D24"/>
    <w:rsid w:val="00DB07F8"/>
    <w:rsid w:val="00DB0CA2"/>
    <w:rsid w:val="00DB19C3"/>
    <w:rsid w:val="00DB2279"/>
    <w:rsid w:val="00DB2C51"/>
    <w:rsid w:val="00DB3CA8"/>
    <w:rsid w:val="00DB4115"/>
    <w:rsid w:val="00DB446B"/>
    <w:rsid w:val="00DB4ECA"/>
    <w:rsid w:val="00DB54A4"/>
    <w:rsid w:val="00DB55B0"/>
    <w:rsid w:val="00DB5AD6"/>
    <w:rsid w:val="00DB611E"/>
    <w:rsid w:val="00DB6279"/>
    <w:rsid w:val="00DB6582"/>
    <w:rsid w:val="00DB69C8"/>
    <w:rsid w:val="00DB6B12"/>
    <w:rsid w:val="00DB7A8E"/>
    <w:rsid w:val="00DB7A9A"/>
    <w:rsid w:val="00DC018C"/>
    <w:rsid w:val="00DC170E"/>
    <w:rsid w:val="00DC17A8"/>
    <w:rsid w:val="00DC2075"/>
    <w:rsid w:val="00DC20B6"/>
    <w:rsid w:val="00DC2B4C"/>
    <w:rsid w:val="00DC2BAE"/>
    <w:rsid w:val="00DC32E6"/>
    <w:rsid w:val="00DC3781"/>
    <w:rsid w:val="00DC3AD2"/>
    <w:rsid w:val="00DC3EA9"/>
    <w:rsid w:val="00DC3F4C"/>
    <w:rsid w:val="00DC443F"/>
    <w:rsid w:val="00DC47DB"/>
    <w:rsid w:val="00DC5535"/>
    <w:rsid w:val="00DC5743"/>
    <w:rsid w:val="00DC5D62"/>
    <w:rsid w:val="00DC60B5"/>
    <w:rsid w:val="00DC6E5A"/>
    <w:rsid w:val="00DC7213"/>
    <w:rsid w:val="00DD0F9F"/>
    <w:rsid w:val="00DD0FBC"/>
    <w:rsid w:val="00DD12C2"/>
    <w:rsid w:val="00DD1307"/>
    <w:rsid w:val="00DD194F"/>
    <w:rsid w:val="00DD1A21"/>
    <w:rsid w:val="00DD1B0A"/>
    <w:rsid w:val="00DD1C19"/>
    <w:rsid w:val="00DD1EAD"/>
    <w:rsid w:val="00DD2187"/>
    <w:rsid w:val="00DD34AE"/>
    <w:rsid w:val="00DD3BA4"/>
    <w:rsid w:val="00DD412E"/>
    <w:rsid w:val="00DD4B09"/>
    <w:rsid w:val="00DD568D"/>
    <w:rsid w:val="00DD584E"/>
    <w:rsid w:val="00DD75AD"/>
    <w:rsid w:val="00DD77E8"/>
    <w:rsid w:val="00DD7DC8"/>
    <w:rsid w:val="00DE300C"/>
    <w:rsid w:val="00DE316F"/>
    <w:rsid w:val="00DE5E50"/>
    <w:rsid w:val="00DE6C59"/>
    <w:rsid w:val="00DE7066"/>
    <w:rsid w:val="00DE75B4"/>
    <w:rsid w:val="00DE7FB5"/>
    <w:rsid w:val="00DF074C"/>
    <w:rsid w:val="00DF084F"/>
    <w:rsid w:val="00DF17BE"/>
    <w:rsid w:val="00DF2691"/>
    <w:rsid w:val="00DF30D8"/>
    <w:rsid w:val="00DF33F0"/>
    <w:rsid w:val="00DF3B35"/>
    <w:rsid w:val="00DF4168"/>
    <w:rsid w:val="00DF50F6"/>
    <w:rsid w:val="00DF5762"/>
    <w:rsid w:val="00DF5806"/>
    <w:rsid w:val="00DF60F1"/>
    <w:rsid w:val="00DF69C5"/>
    <w:rsid w:val="00DF75A5"/>
    <w:rsid w:val="00DF75FE"/>
    <w:rsid w:val="00DF7F03"/>
    <w:rsid w:val="00E00223"/>
    <w:rsid w:val="00E01851"/>
    <w:rsid w:val="00E01A5B"/>
    <w:rsid w:val="00E02ED0"/>
    <w:rsid w:val="00E04A99"/>
    <w:rsid w:val="00E04C6D"/>
    <w:rsid w:val="00E059AE"/>
    <w:rsid w:val="00E05F52"/>
    <w:rsid w:val="00E06093"/>
    <w:rsid w:val="00E062C7"/>
    <w:rsid w:val="00E067E0"/>
    <w:rsid w:val="00E07573"/>
    <w:rsid w:val="00E079D2"/>
    <w:rsid w:val="00E1054B"/>
    <w:rsid w:val="00E1059E"/>
    <w:rsid w:val="00E11040"/>
    <w:rsid w:val="00E1139D"/>
    <w:rsid w:val="00E1167B"/>
    <w:rsid w:val="00E128E5"/>
    <w:rsid w:val="00E13CFF"/>
    <w:rsid w:val="00E13DC3"/>
    <w:rsid w:val="00E14353"/>
    <w:rsid w:val="00E14F73"/>
    <w:rsid w:val="00E15318"/>
    <w:rsid w:val="00E15493"/>
    <w:rsid w:val="00E156BB"/>
    <w:rsid w:val="00E15DAB"/>
    <w:rsid w:val="00E15E6F"/>
    <w:rsid w:val="00E1719F"/>
    <w:rsid w:val="00E171AF"/>
    <w:rsid w:val="00E174DB"/>
    <w:rsid w:val="00E20D4B"/>
    <w:rsid w:val="00E22154"/>
    <w:rsid w:val="00E22184"/>
    <w:rsid w:val="00E22804"/>
    <w:rsid w:val="00E2297B"/>
    <w:rsid w:val="00E22E32"/>
    <w:rsid w:val="00E22FA1"/>
    <w:rsid w:val="00E237C4"/>
    <w:rsid w:val="00E23B16"/>
    <w:rsid w:val="00E2500C"/>
    <w:rsid w:val="00E25C27"/>
    <w:rsid w:val="00E25FE5"/>
    <w:rsid w:val="00E2606E"/>
    <w:rsid w:val="00E26315"/>
    <w:rsid w:val="00E265E2"/>
    <w:rsid w:val="00E266C8"/>
    <w:rsid w:val="00E27C71"/>
    <w:rsid w:val="00E30544"/>
    <w:rsid w:val="00E3112C"/>
    <w:rsid w:val="00E3264C"/>
    <w:rsid w:val="00E326AB"/>
    <w:rsid w:val="00E3285C"/>
    <w:rsid w:val="00E32C25"/>
    <w:rsid w:val="00E33117"/>
    <w:rsid w:val="00E3525E"/>
    <w:rsid w:val="00E363B1"/>
    <w:rsid w:val="00E36E1D"/>
    <w:rsid w:val="00E36E43"/>
    <w:rsid w:val="00E374D6"/>
    <w:rsid w:val="00E427DD"/>
    <w:rsid w:val="00E42A17"/>
    <w:rsid w:val="00E42E67"/>
    <w:rsid w:val="00E4301E"/>
    <w:rsid w:val="00E43048"/>
    <w:rsid w:val="00E436CA"/>
    <w:rsid w:val="00E43DC6"/>
    <w:rsid w:val="00E43E36"/>
    <w:rsid w:val="00E43E7E"/>
    <w:rsid w:val="00E44156"/>
    <w:rsid w:val="00E4535F"/>
    <w:rsid w:val="00E457D1"/>
    <w:rsid w:val="00E45E61"/>
    <w:rsid w:val="00E46483"/>
    <w:rsid w:val="00E46513"/>
    <w:rsid w:val="00E4715A"/>
    <w:rsid w:val="00E4719B"/>
    <w:rsid w:val="00E47458"/>
    <w:rsid w:val="00E474E0"/>
    <w:rsid w:val="00E476CD"/>
    <w:rsid w:val="00E47C3A"/>
    <w:rsid w:val="00E51205"/>
    <w:rsid w:val="00E519DA"/>
    <w:rsid w:val="00E51D8E"/>
    <w:rsid w:val="00E5222D"/>
    <w:rsid w:val="00E52667"/>
    <w:rsid w:val="00E52A20"/>
    <w:rsid w:val="00E5420D"/>
    <w:rsid w:val="00E54418"/>
    <w:rsid w:val="00E546CD"/>
    <w:rsid w:val="00E55A5B"/>
    <w:rsid w:val="00E560C9"/>
    <w:rsid w:val="00E569CA"/>
    <w:rsid w:val="00E56D51"/>
    <w:rsid w:val="00E57870"/>
    <w:rsid w:val="00E57CF8"/>
    <w:rsid w:val="00E57FE9"/>
    <w:rsid w:val="00E607BF"/>
    <w:rsid w:val="00E6099A"/>
    <w:rsid w:val="00E60CB1"/>
    <w:rsid w:val="00E61087"/>
    <w:rsid w:val="00E61124"/>
    <w:rsid w:val="00E61659"/>
    <w:rsid w:val="00E61D3D"/>
    <w:rsid w:val="00E62154"/>
    <w:rsid w:val="00E621C2"/>
    <w:rsid w:val="00E62CD8"/>
    <w:rsid w:val="00E631C5"/>
    <w:rsid w:val="00E63BD4"/>
    <w:rsid w:val="00E6402F"/>
    <w:rsid w:val="00E640E3"/>
    <w:rsid w:val="00E642CB"/>
    <w:rsid w:val="00E65041"/>
    <w:rsid w:val="00E65086"/>
    <w:rsid w:val="00E65381"/>
    <w:rsid w:val="00E659CB"/>
    <w:rsid w:val="00E66744"/>
    <w:rsid w:val="00E66897"/>
    <w:rsid w:val="00E672DB"/>
    <w:rsid w:val="00E679E6"/>
    <w:rsid w:val="00E67A9E"/>
    <w:rsid w:val="00E67CBE"/>
    <w:rsid w:val="00E7003E"/>
    <w:rsid w:val="00E704E7"/>
    <w:rsid w:val="00E707BC"/>
    <w:rsid w:val="00E70B03"/>
    <w:rsid w:val="00E70F05"/>
    <w:rsid w:val="00E71096"/>
    <w:rsid w:val="00E710CC"/>
    <w:rsid w:val="00E7110E"/>
    <w:rsid w:val="00E71301"/>
    <w:rsid w:val="00E72012"/>
    <w:rsid w:val="00E7219B"/>
    <w:rsid w:val="00E7249E"/>
    <w:rsid w:val="00E72988"/>
    <w:rsid w:val="00E72D21"/>
    <w:rsid w:val="00E73982"/>
    <w:rsid w:val="00E73B84"/>
    <w:rsid w:val="00E73C88"/>
    <w:rsid w:val="00E74EB4"/>
    <w:rsid w:val="00E75221"/>
    <w:rsid w:val="00E756C8"/>
    <w:rsid w:val="00E75CA6"/>
    <w:rsid w:val="00E77409"/>
    <w:rsid w:val="00E778A0"/>
    <w:rsid w:val="00E77F0C"/>
    <w:rsid w:val="00E77FA4"/>
    <w:rsid w:val="00E8062A"/>
    <w:rsid w:val="00E80D4F"/>
    <w:rsid w:val="00E831E4"/>
    <w:rsid w:val="00E83CB4"/>
    <w:rsid w:val="00E83EF1"/>
    <w:rsid w:val="00E844BE"/>
    <w:rsid w:val="00E849BA"/>
    <w:rsid w:val="00E849D5"/>
    <w:rsid w:val="00E85A5E"/>
    <w:rsid w:val="00E85A7B"/>
    <w:rsid w:val="00E860E8"/>
    <w:rsid w:val="00E862B3"/>
    <w:rsid w:val="00E862CD"/>
    <w:rsid w:val="00E86A8D"/>
    <w:rsid w:val="00E86B89"/>
    <w:rsid w:val="00E86DBF"/>
    <w:rsid w:val="00E87167"/>
    <w:rsid w:val="00E90DA4"/>
    <w:rsid w:val="00E9171E"/>
    <w:rsid w:val="00E91A81"/>
    <w:rsid w:val="00E93D26"/>
    <w:rsid w:val="00E94AE7"/>
    <w:rsid w:val="00E94EA9"/>
    <w:rsid w:val="00E95633"/>
    <w:rsid w:val="00E95872"/>
    <w:rsid w:val="00E96483"/>
    <w:rsid w:val="00E96527"/>
    <w:rsid w:val="00E97C04"/>
    <w:rsid w:val="00EA1406"/>
    <w:rsid w:val="00EA1599"/>
    <w:rsid w:val="00EA2651"/>
    <w:rsid w:val="00EA2C91"/>
    <w:rsid w:val="00EA30EA"/>
    <w:rsid w:val="00EA4149"/>
    <w:rsid w:val="00EA4D53"/>
    <w:rsid w:val="00EA521F"/>
    <w:rsid w:val="00EA6A9A"/>
    <w:rsid w:val="00EA6E3A"/>
    <w:rsid w:val="00EA6F25"/>
    <w:rsid w:val="00EA7050"/>
    <w:rsid w:val="00EA7524"/>
    <w:rsid w:val="00EA7613"/>
    <w:rsid w:val="00EA7EAC"/>
    <w:rsid w:val="00EB0470"/>
    <w:rsid w:val="00EB0A94"/>
    <w:rsid w:val="00EB0AB7"/>
    <w:rsid w:val="00EB0DA9"/>
    <w:rsid w:val="00EB23CB"/>
    <w:rsid w:val="00EB2F3F"/>
    <w:rsid w:val="00EB3B12"/>
    <w:rsid w:val="00EB3C47"/>
    <w:rsid w:val="00EB3F9A"/>
    <w:rsid w:val="00EB4095"/>
    <w:rsid w:val="00EB4101"/>
    <w:rsid w:val="00EB4628"/>
    <w:rsid w:val="00EB4891"/>
    <w:rsid w:val="00EB4F38"/>
    <w:rsid w:val="00EB557B"/>
    <w:rsid w:val="00EB6256"/>
    <w:rsid w:val="00EB6FD3"/>
    <w:rsid w:val="00EB75B2"/>
    <w:rsid w:val="00EB7D8E"/>
    <w:rsid w:val="00EB7E7A"/>
    <w:rsid w:val="00EC00B2"/>
    <w:rsid w:val="00EC047E"/>
    <w:rsid w:val="00EC0AF6"/>
    <w:rsid w:val="00EC0D61"/>
    <w:rsid w:val="00EC1C5C"/>
    <w:rsid w:val="00EC1D95"/>
    <w:rsid w:val="00EC211D"/>
    <w:rsid w:val="00EC2870"/>
    <w:rsid w:val="00EC31DB"/>
    <w:rsid w:val="00EC3680"/>
    <w:rsid w:val="00EC3B15"/>
    <w:rsid w:val="00EC3B73"/>
    <w:rsid w:val="00EC47D7"/>
    <w:rsid w:val="00EC488F"/>
    <w:rsid w:val="00EC493D"/>
    <w:rsid w:val="00EC609D"/>
    <w:rsid w:val="00EC6244"/>
    <w:rsid w:val="00EC7B77"/>
    <w:rsid w:val="00ED0082"/>
    <w:rsid w:val="00ED03F5"/>
    <w:rsid w:val="00ED173F"/>
    <w:rsid w:val="00ED26C4"/>
    <w:rsid w:val="00ED2D97"/>
    <w:rsid w:val="00ED32D1"/>
    <w:rsid w:val="00ED353A"/>
    <w:rsid w:val="00ED3A6C"/>
    <w:rsid w:val="00ED3CBE"/>
    <w:rsid w:val="00ED4B5F"/>
    <w:rsid w:val="00ED5E56"/>
    <w:rsid w:val="00ED6123"/>
    <w:rsid w:val="00ED6554"/>
    <w:rsid w:val="00ED6B5C"/>
    <w:rsid w:val="00EE02CE"/>
    <w:rsid w:val="00EE0B60"/>
    <w:rsid w:val="00EE22D0"/>
    <w:rsid w:val="00EE2A4D"/>
    <w:rsid w:val="00EE2CF8"/>
    <w:rsid w:val="00EE37D5"/>
    <w:rsid w:val="00EE4DD9"/>
    <w:rsid w:val="00EE4E42"/>
    <w:rsid w:val="00EE4EB4"/>
    <w:rsid w:val="00EE5A6A"/>
    <w:rsid w:val="00EE6978"/>
    <w:rsid w:val="00EE6DFB"/>
    <w:rsid w:val="00EE6F3E"/>
    <w:rsid w:val="00EF1B9E"/>
    <w:rsid w:val="00EF1F72"/>
    <w:rsid w:val="00EF2AE8"/>
    <w:rsid w:val="00EF2D48"/>
    <w:rsid w:val="00EF3449"/>
    <w:rsid w:val="00EF35A3"/>
    <w:rsid w:val="00EF3A98"/>
    <w:rsid w:val="00EF5003"/>
    <w:rsid w:val="00EF5222"/>
    <w:rsid w:val="00EF530C"/>
    <w:rsid w:val="00EF5366"/>
    <w:rsid w:val="00EF5457"/>
    <w:rsid w:val="00EF7A84"/>
    <w:rsid w:val="00F00489"/>
    <w:rsid w:val="00F011C6"/>
    <w:rsid w:val="00F013FA"/>
    <w:rsid w:val="00F0152F"/>
    <w:rsid w:val="00F02D57"/>
    <w:rsid w:val="00F0339E"/>
    <w:rsid w:val="00F034DA"/>
    <w:rsid w:val="00F04320"/>
    <w:rsid w:val="00F043EA"/>
    <w:rsid w:val="00F0486F"/>
    <w:rsid w:val="00F04AE2"/>
    <w:rsid w:val="00F05DD1"/>
    <w:rsid w:val="00F061E5"/>
    <w:rsid w:val="00F062C8"/>
    <w:rsid w:val="00F069DB"/>
    <w:rsid w:val="00F06B3B"/>
    <w:rsid w:val="00F07657"/>
    <w:rsid w:val="00F078B7"/>
    <w:rsid w:val="00F07C12"/>
    <w:rsid w:val="00F105CB"/>
    <w:rsid w:val="00F10A0C"/>
    <w:rsid w:val="00F10A6B"/>
    <w:rsid w:val="00F10B32"/>
    <w:rsid w:val="00F10FDF"/>
    <w:rsid w:val="00F112EC"/>
    <w:rsid w:val="00F11409"/>
    <w:rsid w:val="00F1152B"/>
    <w:rsid w:val="00F115AB"/>
    <w:rsid w:val="00F12C2B"/>
    <w:rsid w:val="00F12C3A"/>
    <w:rsid w:val="00F13242"/>
    <w:rsid w:val="00F13794"/>
    <w:rsid w:val="00F138DF"/>
    <w:rsid w:val="00F13989"/>
    <w:rsid w:val="00F13A83"/>
    <w:rsid w:val="00F13C2F"/>
    <w:rsid w:val="00F1459D"/>
    <w:rsid w:val="00F1514D"/>
    <w:rsid w:val="00F15690"/>
    <w:rsid w:val="00F164FF"/>
    <w:rsid w:val="00F1650C"/>
    <w:rsid w:val="00F1672A"/>
    <w:rsid w:val="00F17293"/>
    <w:rsid w:val="00F17A1D"/>
    <w:rsid w:val="00F17A7E"/>
    <w:rsid w:val="00F200EB"/>
    <w:rsid w:val="00F20671"/>
    <w:rsid w:val="00F20E03"/>
    <w:rsid w:val="00F213A6"/>
    <w:rsid w:val="00F214B8"/>
    <w:rsid w:val="00F223EC"/>
    <w:rsid w:val="00F22453"/>
    <w:rsid w:val="00F22965"/>
    <w:rsid w:val="00F233D3"/>
    <w:rsid w:val="00F23862"/>
    <w:rsid w:val="00F2434B"/>
    <w:rsid w:val="00F2536E"/>
    <w:rsid w:val="00F25995"/>
    <w:rsid w:val="00F259AF"/>
    <w:rsid w:val="00F25D24"/>
    <w:rsid w:val="00F266A5"/>
    <w:rsid w:val="00F26D7F"/>
    <w:rsid w:val="00F27469"/>
    <w:rsid w:val="00F27770"/>
    <w:rsid w:val="00F279DC"/>
    <w:rsid w:val="00F27BE9"/>
    <w:rsid w:val="00F27E19"/>
    <w:rsid w:val="00F303D6"/>
    <w:rsid w:val="00F30914"/>
    <w:rsid w:val="00F30BFB"/>
    <w:rsid w:val="00F30E2C"/>
    <w:rsid w:val="00F31269"/>
    <w:rsid w:val="00F32215"/>
    <w:rsid w:val="00F3265D"/>
    <w:rsid w:val="00F332AF"/>
    <w:rsid w:val="00F34034"/>
    <w:rsid w:val="00F34165"/>
    <w:rsid w:val="00F3429C"/>
    <w:rsid w:val="00F34872"/>
    <w:rsid w:val="00F34B2D"/>
    <w:rsid w:val="00F34CD3"/>
    <w:rsid w:val="00F3582A"/>
    <w:rsid w:val="00F36489"/>
    <w:rsid w:val="00F36663"/>
    <w:rsid w:val="00F36E4C"/>
    <w:rsid w:val="00F36FC4"/>
    <w:rsid w:val="00F3798D"/>
    <w:rsid w:val="00F37FED"/>
    <w:rsid w:val="00F40283"/>
    <w:rsid w:val="00F4064A"/>
    <w:rsid w:val="00F40F41"/>
    <w:rsid w:val="00F4105C"/>
    <w:rsid w:val="00F42C83"/>
    <w:rsid w:val="00F44D0B"/>
    <w:rsid w:val="00F44D10"/>
    <w:rsid w:val="00F44EB2"/>
    <w:rsid w:val="00F456F5"/>
    <w:rsid w:val="00F4726F"/>
    <w:rsid w:val="00F475F5"/>
    <w:rsid w:val="00F477AB"/>
    <w:rsid w:val="00F47DE4"/>
    <w:rsid w:val="00F501E1"/>
    <w:rsid w:val="00F50EC3"/>
    <w:rsid w:val="00F511F3"/>
    <w:rsid w:val="00F525DA"/>
    <w:rsid w:val="00F53298"/>
    <w:rsid w:val="00F54F4E"/>
    <w:rsid w:val="00F553F6"/>
    <w:rsid w:val="00F56532"/>
    <w:rsid w:val="00F566FA"/>
    <w:rsid w:val="00F572D7"/>
    <w:rsid w:val="00F61EA3"/>
    <w:rsid w:val="00F62193"/>
    <w:rsid w:val="00F62621"/>
    <w:rsid w:val="00F628F2"/>
    <w:rsid w:val="00F62AF4"/>
    <w:rsid w:val="00F62F56"/>
    <w:rsid w:val="00F6362E"/>
    <w:rsid w:val="00F63CD8"/>
    <w:rsid w:val="00F64409"/>
    <w:rsid w:val="00F64442"/>
    <w:rsid w:val="00F64761"/>
    <w:rsid w:val="00F6519C"/>
    <w:rsid w:val="00F65944"/>
    <w:rsid w:val="00F659EF"/>
    <w:rsid w:val="00F66166"/>
    <w:rsid w:val="00F6628F"/>
    <w:rsid w:val="00F6677F"/>
    <w:rsid w:val="00F66C5A"/>
    <w:rsid w:val="00F703D8"/>
    <w:rsid w:val="00F70D85"/>
    <w:rsid w:val="00F715E4"/>
    <w:rsid w:val="00F72C37"/>
    <w:rsid w:val="00F72F5F"/>
    <w:rsid w:val="00F737CB"/>
    <w:rsid w:val="00F73A09"/>
    <w:rsid w:val="00F745F0"/>
    <w:rsid w:val="00F74682"/>
    <w:rsid w:val="00F75119"/>
    <w:rsid w:val="00F7519E"/>
    <w:rsid w:val="00F75266"/>
    <w:rsid w:val="00F75E96"/>
    <w:rsid w:val="00F76125"/>
    <w:rsid w:val="00F76606"/>
    <w:rsid w:val="00F77623"/>
    <w:rsid w:val="00F777CD"/>
    <w:rsid w:val="00F77832"/>
    <w:rsid w:val="00F77AE3"/>
    <w:rsid w:val="00F80297"/>
    <w:rsid w:val="00F80846"/>
    <w:rsid w:val="00F81D5B"/>
    <w:rsid w:val="00F81E61"/>
    <w:rsid w:val="00F82094"/>
    <w:rsid w:val="00F8276B"/>
    <w:rsid w:val="00F82791"/>
    <w:rsid w:val="00F82CE5"/>
    <w:rsid w:val="00F8522F"/>
    <w:rsid w:val="00F85BB8"/>
    <w:rsid w:val="00F86181"/>
    <w:rsid w:val="00F8618F"/>
    <w:rsid w:val="00F86F94"/>
    <w:rsid w:val="00F87357"/>
    <w:rsid w:val="00F87596"/>
    <w:rsid w:val="00F87657"/>
    <w:rsid w:val="00F8797F"/>
    <w:rsid w:val="00F87DB6"/>
    <w:rsid w:val="00F900A8"/>
    <w:rsid w:val="00F906B8"/>
    <w:rsid w:val="00F907C9"/>
    <w:rsid w:val="00F90920"/>
    <w:rsid w:val="00F90B24"/>
    <w:rsid w:val="00F911CB"/>
    <w:rsid w:val="00F9166D"/>
    <w:rsid w:val="00F920F3"/>
    <w:rsid w:val="00F9239A"/>
    <w:rsid w:val="00F926BC"/>
    <w:rsid w:val="00F92A32"/>
    <w:rsid w:val="00F93A94"/>
    <w:rsid w:val="00F94681"/>
    <w:rsid w:val="00F959EE"/>
    <w:rsid w:val="00F96383"/>
    <w:rsid w:val="00F9751D"/>
    <w:rsid w:val="00FA014C"/>
    <w:rsid w:val="00FA0214"/>
    <w:rsid w:val="00FA0278"/>
    <w:rsid w:val="00FA0B54"/>
    <w:rsid w:val="00FA109D"/>
    <w:rsid w:val="00FA1A2D"/>
    <w:rsid w:val="00FA2532"/>
    <w:rsid w:val="00FA29B9"/>
    <w:rsid w:val="00FA2B73"/>
    <w:rsid w:val="00FA3AB7"/>
    <w:rsid w:val="00FA4F07"/>
    <w:rsid w:val="00FA51A3"/>
    <w:rsid w:val="00FA5A87"/>
    <w:rsid w:val="00FA5E39"/>
    <w:rsid w:val="00FA5FB3"/>
    <w:rsid w:val="00FA5FB4"/>
    <w:rsid w:val="00FA7636"/>
    <w:rsid w:val="00FA7898"/>
    <w:rsid w:val="00FA7D27"/>
    <w:rsid w:val="00FB01B3"/>
    <w:rsid w:val="00FB0743"/>
    <w:rsid w:val="00FB1122"/>
    <w:rsid w:val="00FB3970"/>
    <w:rsid w:val="00FB42C3"/>
    <w:rsid w:val="00FB49BC"/>
    <w:rsid w:val="00FB75A1"/>
    <w:rsid w:val="00FB76AF"/>
    <w:rsid w:val="00FC0218"/>
    <w:rsid w:val="00FC0A56"/>
    <w:rsid w:val="00FC179B"/>
    <w:rsid w:val="00FC26DC"/>
    <w:rsid w:val="00FC2DE5"/>
    <w:rsid w:val="00FC2FD5"/>
    <w:rsid w:val="00FC3697"/>
    <w:rsid w:val="00FC36C0"/>
    <w:rsid w:val="00FC3DC4"/>
    <w:rsid w:val="00FC3FA0"/>
    <w:rsid w:val="00FC482C"/>
    <w:rsid w:val="00FC49D0"/>
    <w:rsid w:val="00FC4CFE"/>
    <w:rsid w:val="00FC5367"/>
    <w:rsid w:val="00FC5862"/>
    <w:rsid w:val="00FC5F0E"/>
    <w:rsid w:val="00FC6DA4"/>
    <w:rsid w:val="00FC776A"/>
    <w:rsid w:val="00FC7B36"/>
    <w:rsid w:val="00FD14C5"/>
    <w:rsid w:val="00FD18B8"/>
    <w:rsid w:val="00FD18C1"/>
    <w:rsid w:val="00FD1FB8"/>
    <w:rsid w:val="00FD2145"/>
    <w:rsid w:val="00FD2404"/>
    <w:rsid w:val="00FD268D"/>
    <w:rsid w:val="00FD335E"/>
    <w:rsid w:val="00FD3563"/>
    <w:rsid w:val="00FD4B93"/>
    <w:rsid w:val="00FD4E5E"/>
    <w:rsid w:val="00FD5247"/>
    <w:rsid w:val="00FD5AC8"/>
    <w:rsid w:val="00FD5F9C"/>
    <w:rsid w:val="00FD6330"/>
    <w:rsid w:val="00FD652D"/>
    <w:rsid w:val="00FD69C1"/>
    <w:rsid w:val="00FD6F6D"/>
    <w:rsid w:val="00FD74EF"/>
    <w:rsid w:val="00FD7B20"/>
    <w:rsid w:val="00FD7BED"/>
    <w:rsid w:val="00FE0FE0"/>
    <w:rsid w:val="00FE16FB"/>
    <w:rsid w:val="00FE1967"/>
    <w:rsid w:val="00FE29F9"/>
    <w:rsid w:val="00FE2D93"/>
    <w:rsid w:val="00FE2F42"/>
    <w:rsid w:val="00FE359D"/>
    <w:rsid w:val="00FE36A2"/>
    <w:rsid w:val="00FE3D22"/>
    <w:rsid w:val="00FE439C"/>
    <w:rsid w:val="00FE4A37"/>
    <w:rsid w:val="00FE4B4A"/>
    <w:rsid w:val="00FE4D4B"/>
    <w:rsid w:val="00FE4FD3"/>
    <w:rsid w:val="00FE50C4"/>
    <w:rsid w:val="00FE58D8"/>
    <w:rsid w:val="00FE5C8C"/>
    <w:rsid w:val="00FE605F"/>
    <w:rsid w:val="00FE7686"/>
    <w:rsid w:val="00FE7B14"/>
    <w:rsid w:val="00FF02A8"/>
    <w:rsid w:val="00FF0747"/>
    <w:rsid w:val="00FF13EE"/>
    <w:rsid w:val="00FF167C"/>
    <w:rsid w:val="00FF2181"/>
    <w:rsid w:val="00FF2539"/>
    <w:rsid w:val="00FF2D0C"/>
    <w:rsid w:val="00FF3662"/>
    <w:rsid w:val="00FF447A"/>
    <w:rsid w:val="00FF44F3"/>
    <w:rsid w:val="00FF4D8A"/>
    <w:rsid w:val="00FF5451"/>
    <w:rsid w:val="00FF5D07"/>
    <w:rsid w:val="00FF752A"/>
    <w:rsid w:val="00FF7884"/>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C757"/>
  <w15:docId w15:val="{2BA6BD83-641B-451D-B267-DBEEEC27F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B02"/>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C29"/>
    <w:pPr>
      <w:ind w:left="720"/>
      <w:contextualSpacing/>
    </w:pPr>
  </w:style>
  <w:style w:type="table" w:styleId="TableGrid">
    <w:name w:val="Table Grid"/>
    <w:basedOn w:val="TableNormal"/>
    <w:uiPriority w:val="59"/>
    <w:rsid w:val="009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14F3"/>
    <w:pPr>
      <w:tabs>
        <w:tab w:val="center" w:pos="4680"/>
        <w:tab w:val="right" w:pos="9360"/>
      </w:tabs>
    </w:pPr>
  </w:style>
  <w:style w:type="character" w:customStyle="1" w:styleId="HeaderChar">
    <w:name w:val="Header Char"/>
    <w:basedOn w:val="DefaultParagraphFont"/>
    <w:link w:val="Header"/>
    <w:uiPriority w:val="99"/>
    <w:rsid w:val="00C014F3"/>
    <w:rPr>
      <w:rFonts w:ascii="Times New Roman" w:hAnsi="Times New Roman"/>
      <w:sz w:val="24"/>
    </w:rPr>
  </w:style>
  <w:style w:type="paragraph" w:styleId="Footer">
    <w:name w:val="footer"/>
    <w:basedOn w:val="Normal"/>
    <w:link w:val="FooterChar"/>
    <w:uiPriority w:val="99"/>
    <w:unhideWhenUsed/>
    <w:rsid w:val="00C014F3"/>
    <w:pPr>
      <w:tabs>
        <w:tab w:val="center" w:pos="4680"/>
        <w:tab w:val="right" w:pos="9360"/>
      </w:tabs>
    </w:pPr>
  </w:style>
  <w:style w:type="character" w:customStyle="1" w:styleId="FooterChar">
    <w:name w:val="Footer Char"/>
    <w:basedOn w:val="DefaultParagraphFont"/>
    <w:link w:val="Footer"/>
    <w:uiPriority w:val="99"/>
    <w:rsid w:val="00C014F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22274">
      <w:bodyDiv w:val="1"/>
      <w:marLeft w:val="0"/>
      <w:marRight w:val="0"/>
      <w:marTop w:val="0"/>
      <w:marBottom w:val="0"/>
      <w:divBdr>
        <w:top w:val="none" w:sz="0" w:space="0" w:color="auto"/>
        <w:left w:val="none" w:sz="0" w:space="0" w:color="auto"/>
        <w:bottom w:val="none" w:sz="0" w:space="0" w:color="auto"/>
        <w:right w:val="none" w:sz="0" w:space="0" w:color="auto"/>
      </w:divBdr>
    </w:div>
    <w:div w:id="140983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MedPOINT Management</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Ragnarsson</dc:creator>
  <cp:keywords/>
  <dc:description/>
  <cp:lastModifiedBy>Nick Niccoli</cp:lastModifiedBy>
  <cp:revision>17</cp:revision>
  <dcterms:created xsi:type="dcterms:W3CDTF">2012-02-22T00:16:00Z</dcterms:created>
  <dcterms:modified xsi:type="dcterms:W3CDTF">2015-11-05T04:10:00Z</dcterms:modified>
</cp:coreProperties>
</file>